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CF" w:rsidRDefault="004E01CF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a"/>
        <w:tblW w:w="903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05"/>
        <w:gridCol w:w="2025"/>
      </w:tblGrid>
      <w:tr w:rsidR="004E01CF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4E01CF" w:rsidRDefault="003F4950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Titel:</w:t>
            </w:r>
          </w:p>
          <w:p w:rsidR="004E01CF" w:rsidRDefault="004E01C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4E01CF" w:rsidRDefault="003F495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Riktlinjer för ögoninflammation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4E01CF" w:rsidRDefault="003F4950">
            <w:pPr>
              <w:tabs>
                <w:tab w:val="left" w:pos="3235"/>
              </w:tabs>
              <w:ind w:left="7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Giltigt från:</w:t>
            </w:r>
          </w:p>
          <w:p w:rsidR="004E01CF" w:rsidRDefault="004E01CF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  <w:p w:rsidR="004E01CF" w:rsidRDefault="004E01CF">
            <w:pPr>
              <w:spacing w:line="240" w:lineRule="auto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  <w:tr w:rsidR="004E01CF">
        <w:trPr>
          <w:trHeight w:val="560"/>
        </w:trPr>
        <w:tc>
          <w:tcPr>
            <w:tcW w:w="7005" w:type="dxa"/>
            <w:tcBorders>
              <w:top w:val="single" w:sz="4" w:space="0" w:color="000000"/>
              <w:left w:val="single" w:sz="4" w:space="0" w:color="000000"/>
            </w:tcBorders>
          </w:tcPr>
          <w:p w:rsidR="004E01CF" w:rsidRDefault="003F4950">
            <w:pPr>
              <w:tabs>
                <w:tab w:val="left" w:pos="3235"/>
              </w:tabs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Fastställt av:</w:t>
            </w:r>
          </w:p>
        </w:tc>
        <w:tc>
          <w:tcPr>
            <w:tcW w:w="2025" w:type="dxa"/>
            <w:tcBorders>
              <w:top w:val="single" w:sz="4" w:space="0" w:color="000000"/>
              <w:right w:val="single" w:sz="4" w:space="0" w:color="000000"/>
            </w:tcBorders>
          </w:tcPr>
          <w:p w:rsidR="004E01CF" w:rsidRDefault="003F495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Version:</w:t>
            </w:r>
          </w:p>
          <w:p w:rsidR="004E01CF" w:rsidRDefault="004E01CF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  <w:p w:rsidR="004E01CF" w:rsidRDefault="003F4950">
            <w:pPr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0.1</w:t>
            </w:r>
          </w:p>
        </w:tc>
      </w:tr>
    </w:tbl>
    <w:p w:rsidR="004E01CF" w:rsidRDefault="003F4950">
      <w:pPr>
        <w:rPr>
          <w:rFonts w:ascii="Cambria" w:eastAsia="Cambria" w:hAnsi="Cambria" w:cs="Cambria"/>
          <w:b/>
          <w:color w:val="191919"/>
          <w:sz w:val="24"/>
          <w:szCs w:val="24"/>
        </w:rPr>
      </w:pPr>
      <w:r>
        <w:rPr>
          <w:rFonts w:ascii="Cambria" w:eastAsia="Cambria" w:hAnsi="Cambria" w:cs="Cambria"/>
          <w:b/>
          <w:color w:val="FF0000"/>
          <w:sz w:val="48"/>
          <w:szCs w:val="48"/>
          <w:lang w:bidi="cs-CZ"/>
        </w:rPr>
        <w:br/>
      </w:r>
      <w:r>
        <w:rPr>
          <w:rFonts w:ascii="Cambria" w:eastAsia="Cambria" w:hAnsi="Cambria" w:cs="Cambria"/>
          <w:b/>
          <w:color w:val="191919"/>
          <w:sz w:val="24"/>
          <w:szCs w:val="24"/>
          <w:lang w:bidi="cs-CZ"/>
        </w:rPr>
        <w:t>BAKGRUND</w:t>
      </w:r>
    </w:p>
    <w:p w:rsidR="004E01CF" w:rsidRDefault="003F4950">
      <w:pPr>
        <w:rPr>
          <w:rFonts w:ascii="Cambria" w:eastAsia="Cambria" w:hAnsi="Cambria" w:cs="Cambria"/>
          <w:color w:val="191919"/>
          <w:sz w:val="24"/>
          <w:szCs w:val="24"/>
        </w:rPr>
      </w:pPr>
      <w:r>
        <w:rPr>
          <w:rFonts w:ascii="Cambria" w:eastAsia="Cambria" w:hAnsi="Cambria" w:cs="Cambria"/>
          <w:color w:val="191919"/>
          <w:sz w:val="24"/>
          <w:szCs w:val="24"/>
          <w:lang w:bidi="cs-CZ"/>
        </w:rPr>
        <w:t xml:space="preserve">Konjunktiviter kan bl a orsakas av virus, bakterier eller vara av 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autoimmunt eller toxiskt </w:t>
      </w:r>
      <w:r>
        <w:rPr>
          <w:rFonts w:ascii="Cambria" w:eastAsia="Cambria" w:hAnsi="Cambria" w:cs="Cambria"/>
          <w:color w:val="191919"/>
          <w:sz w:val="24"/>
          <w:szCs w:val="24"/>
          <w:lang w:bidi="cs-CZ"/>
        </w:rPr>
        <w:t>ursprung. Alla ögats vävnader kan drabbas. Att avgöra om en infektion har viralt eller bakteriellt ursprung är svårt. Studier visar att cirka 70% är virala.</w:t>
      </w:r>
    </w:p>
    <w:p w:rsidR="004E01CF" w:rsidRDefault="004E01CF">
      <w:pPr>
        <w:rPr>
          <w:rFonts w:ascii="Cambria" w:eastAsia="Cambria" w:hAnsi="Cambria" w:cs="Cambria"/>
          <w:b/>
          <w:color w:val="FF0000"/>
          <w:sz w:val="24"/>
          <w:szCs w:val="24"/>
        </w:rPr>
      </w:pPr>
    </w:p>
    <w:p w:rsidR="004E01CF" w:rsidRDefault="003F495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Riskfaktorer för komplikation vid bakteriell konjunktivit</w:t>
      </w:r>
    </w:p>
    <w:p w:rsidR="004E01CF" w:rsidRDefault="003F495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Sänkt immunförsvar</w:t>
      </w:r>
    </w:p>
    <w:p w:rsidR="004E01CF" w:rsidRDefault="003F495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 xml:space="preserve">Lokal behandling med </w:t>
      </w:r>
      <w:r>
        <w:rPr>
          <w:rFonts w:ascii="Cambria" w:eastAsia="Cambria" w:hAnsi="Cambria" w:cs="Cambria"/>
          <w:sz w:val="24"/>
          <w:szCs w:val="24"/>
          <w:lang w:bidi="cs-CZ"/>
        </w:rPr>
        <w:t>kortikosteroider</w:t>
      </w:r>
    </w:p>
    <w:p w:rsidR="004E01CF" w:rsidRDefault="003F495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Dåligt inställd diabetes</w:t>
      </w:r>
    </w:p>
    <w:p w:rsidR="004E01CF" w:rsidRDefault="003F495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Underliggande ögon- eller ögonlocksjukdom (t.ex. torra ögon, hornhinnedystrofi)</w:t>
      </w:r>
    </w:p>
    <w:p w:rsidR="004E01CF" w:rsidRDefault="003F495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Nyligen genomförd ögonkirurgi</w:t>
      </w:r>
    </w:p>
    <w:p w:rsidR="004E01CF" w:rsidRDefault="003F495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Användning av kontaktlinser</w:t>
      </w:r>
    </w:p>
    <w:p w:rsidR="004E01CF" w:rsidRDefault="003F4950">
      <w:pPr>
        <w:numPr>
          <w:ilvl w:val="0"/>
          <w:numId w:val="4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Obstruktion av tårgångar</w:t>
      </w:r>
    </w:p>
    <w:p w:rsidR="004E01CF" w:rsidRDefault="004E01CF">
      <w:pPr>
        <w:rPr>
          <w:rFonts w:ascii="Cambria" w:eastAsia="Cambria" w:hAnsi="Cambria" w:cs="Cambria"/>
          <w:color w:val="191919"/>
          <w:sz w:val="24"/>
          <w:szCs w:val="24"/>
        </w:rPr>
      </w:pPr>
    </w:p>
    <w:p w:rsidR="004E01CF" w:rsidRDefault="003F4950">
      <w:pPr>
        <w:pStyle w:val="Heading3"/>
        <w:keepNext w:val="0"/>
        <w:keepLines w:val="0"/>
        <w:spacing w:before="0" w:after="0"/>
        <w:rPr>
          <w:rFonts w:ascii="Cambria" w:eastAsia="Cambria" w:hAnsi="Cambria" w:cs="Cambria"/>
          <w:b/>
          <w:color w:val="191919"/>
          <w:sz w:val="24"/>
          <w:szCs w:val="24"/>
        </w:rPr>
      </w:pPr>
      <w:bookmarkStart w:id="1" w:name="_lh07wfr1mdk" w:colFirst="0" w:colLast="0"/>
      <w:bookmarkEnd w:id="1"/>
      <w:r>
        <w:rPr>
          <w:rFonts w:ascii="Cambria" w:eastAsia="Cambria" w:hAnsi="Cambria" w:cs="Cambria"/>
          <w:b/>
          <w:color w:val="191919"/>
          <w:sz w:val="24"/>
          <w:szCs w:val="24"/>
          <w:lang w:bidi="cs-CZ"/>
        </w:rPr>
        <w:t>RIKTLINJER</w:t>
      </w:r>
    </w:p>
    <w:p w:rsidR="004E01CF" w:rsidRDefault="003F495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>Observera att akut synnedsättning, miss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tanke om främmande kropp i ögat eller om angrepp av hornhinnan (ljuskänslighet/bländning) inte skall behandlas i Docly. Fysisk undersökning av ögonläkare krävs alltid i dessa fall. </w:t>
      </w:r>
    </w:p>
    <w:p w:rsidR="004E01CF" w:rsidRDefault="004E01CF"/>
    <w:p w:rsidR="004E01CF" w:rsidRDefault="003F495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Initial handläggning av konjunktivit vid frånvaro av riskfaktorer (se ova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>n) och lindriga symtom</w:t>
      </w:r>
    </w:p>
    <w:p w:rsidR="004E01CF" w:rsidRDefault="004E01CF">
      <w:pPr>
        <w:rPr>
          <w:rFonts w:ascii="Cambria" w:eastAsia="Cambria" w:hAnsi="Cambria" w:cs="Cambria"/>
          <w:b/>
          <w:sz w:val="24"/>
          <w:szCs w:val="24"/>
        </w:rPr>
      </w:pPr>
    </w:p>
    <w:p w:rsidR="004E01CF" w:rsidRDefault="003F4950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 xml:space="preserve">Tvätta ögonen </w:t>
      </w:r>
      <w:r>
        <w:rPr>
          <w:rFonts w:ascii="Cambria" w:eastAsia="Cambria" w:hAnsi="Cambria" w:cs="Cambria"/>
          <w:sz w:val="24"/>
          <w:szCs w:val="24"/>
          <w:lang w:bidi="cs-CZ"/>
        </w:rPr>
        <w:t>med fysiologisk koksaltlösning eller ögonsköljvätska (t.ex. Borax, Dacryoserum, Dacudose, Steridose). Vid behov används sterila kompresser. Lokala antiseptiska medel (t.ex. Biocidan, Monosept, Novoptine, Desomedine, Vitabact) kan användas under 5-7 dagar f</w:t>
      </w:r>
      <w:r>
        <w:rPr>
          <w:rFonts w:ascii="Cambria" w:eastAsia="Cambria" w:hAnsi="Cambria" w:cs="Cambria"/>
          <w:sz w:val="24"/>
          <w:szCs w:val="24"/>
          <w:lang w:bidi="cs-CZ"/>
        </w:rPr>
        <w:t>ör att påskynda läkningen. Kortikosteroider får endast användas om infektiös orsak eliminerats. Delge gärna rekommendation om hygien.</w:t>
      </w:r>
    </w:p>
    <w:p w:rsidR="004E01CF" w:rsidRDefault="004E01CF">
      <w:pPr>
        <w:rPr>
          <w:rFonts w:ascii="Cambria" w:eastAsia="Cambria" w:hAnsi="Cambria" w:cs="Cambria"/>
          <w:sz w:val="24"/>
          <w:szCs w:val="24"/>
        </w:rPr>
      </w:pPr>
    </w:p>
    <w:p w:rsidR="004E01CF" w:rsidRDefault="003F4950">
      <w:pPr>
        <w:numPr>
          <w:ilvl w:val="0"/>
          <w:numId w:val="3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lastRenderedPageBreak/>
        <w:t>Vid frånvaro av förbättring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 inom 4-5 dagar, och stark misstanke om bakteriellt ursprung med uttalade besvär, rekommendera</w:t>
      </w:r>
      <w:r>
        <w:rPr>
          <w:rFonts w:ascii="Cambria" w:eastAsia="Cambria" w:hAnsi="Cambria" w:cs="Cambria"/>
          <w:sz w:val="24"/>
          <w:szCs w:val="24"/>
          <w:lang w:bidi="cs-CZ"/>
        </w:rPr>
        <w:t>s ny vårdkontakt och lokal antibiotikabehandling enligt nedan:</w:t>
      </w:r>
    </w:p>
    <w:p w:rsidR="004E01CF" w:rsidRDefault="004E01CF">
      <w:pPr>
        <w:rPr>
          <w:rFonts w:ascii="Cambria" w:eastAsia="Cambria" w:hAnsi="Cambria" w:cs="Cambria"/>
          <w:b/>
          <w:sz w:val="24"/>
          <w:szCs w:val="24"/>
        </w:rPr>
      </w:pPr>
    </w:p>
    <w:p w:rsidR="004E01CF" w:rsidRDefault="003F4950">
      <w:pPr>
        <w:ind w:left="1133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Azithromycin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 (Azyter)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 xml:space="preserve">, Tobramycin </w:t>
      </w:r>
      <w:r>
        <w:rPr>
          <w:rFonts w:ascii="Cambria" w:eastAsia="Cambria" w:hAnsi="Cambria" w:cs="Cambria"/>
          <w:sz w:val="24"/>
          <w:szCs w:val="24"/>
          <w:lang w:bidi="cs-CZ"/>
        </w:rPr>
        <w:t>(Tobrex)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 xml:space="preserve">, Klortetracyklin 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(Aureomycin Evans),  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 xml:space="preserve">Fusidinsyra 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(Fucithalmic) eller 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>Rifamycin.</w:t>
      </w:r>
    </w:p>
    <w:p w:rsidR="004E01CF" w:rsidRDefault="003F4950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 xml:space="preserve">Behandlingssätt och längd varierar beroende på de droppar eller den 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salva som föreskrivs. Två till fem applikationer per dag i båda ögonen, i 3 till 7 dagar. </w:t>
      </w:r>
    </w:p>
    <w:p w:rsidR="004E01CF" w:rsidRDefault="004E01CF">
      <w:pPr>
        <w:ind w:left="1133"/>
        <w:rPr>
          <w:rFonts w:ascii="Cambria" w:eastAsia="Cambria" w:hAnsi="Cambria" w:cs="Cambria"/>
          <w:sz w:val="24"/>
          <w:szCs w:val="24"/>
        </w:rPr>
      </w:pPr>
    </w:p>
    <w:p w:rsidR="004E01CF" w:rsidRDefault="003F4950">
      <w:pPr>
        <w:ind w:left="113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 xml:space="preserve">Behandlingen måste avbrytas vid överkänslighet mot ett ämne som finns i ögondropparna eller salvan. </w:t>
      </w:r>
    </w:p>
    <w:p w:rsidR="004E01CF" w:rsidRDefault="004E01CF">
      <w:pPr>
        <w:rPr>
          <w:rFonts w:ascii="Cambria" w:eastAsia="Cambria" w:hAnsi="Cambria" w:cs="Cambria"/>
          <w:sz w:val="24"/>
          <w:szCs w:val="24"/>
        </w:rPr>
      </w:pPr>
    </w:p>
    <w:p w:rsidR="004E01CF" w:rsidRDefault="003F4950">
      <w:pPr>
        <w:numPr>
          <w:ilvl w:val="0"/>
          <w:numId w:val="5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 xml:space="preserve">Observera att Fluorokinoloner 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(Ciloxan, Chibroxine, Exocine, Monoox, Quinofree) enbart förskrivs vid terapisvikt eller svår infektion. </w:t>
      </w:r>
    </w:p>
    <w:p w:rsidR="004E01CF" w:rsidRDefault="004E01CF">
      <w:pPr>
        <w:rPr>
          <w:rFonts w:ascii="Cambria" w:eastAsia="Cambria" w:hAnsi="Cambria" w:cs="Cambria"/>
          <w:sz w:val="24"/>
          <w:szCs w:val="24"/>
        </w:rPr>
      </w:pPr>
    </w:p>
    <w:p w:rsidR="004E01CF" w:rsidRDefault="003F4950">
      <w:pPr>
        <w:numPr>
          <w:ilvl w:val="0"/>
          <w:numId w:val="2"/>
        </w:numPr>
        <w:contextualSpacing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  <w:lang w:bidi="cs-CZ"/>
        </w:rPr>
        <w:t xml:space="preserve">Om patienten bär </w:t>
      </w:r>
      <w:r>
        <w:rPr>
          <w:rFonts w:ascii="Cambria" w:eastAsia="Cambria" w:hAnsi="Cambria" w:cs="Cambria"/>
          <w:b/>
          <w:sz w:val="24"/>
          <w:szCs w:val="24"/>
          <w:lang w:bidi="cs-CZ"/>
        </w:rPr>
        <w:t xml:space="preserve">kontaktlinser </w:t>
      </w:r>
      <w:r>
        <w:rPr>
          <w:rFonts w:ascii="Cambria" w:eastAsia="Cambria" w:hAnsi="Cambria" w:cs="Cambria"/>
          <w:sz w:val="24"/>
          <w:szCs w:val="24"/>
          <w:lang w:bidi="cs-CZ"/>
        </w:rPr>
        <w:t xml:space="preserve">får dessa inte användas förrän infektionen helt läkt ut och hornhinnan kontrollerats av ögonläkare. </w:t>
      </w:r>
    </w:p>
    <w:p w:rsidR="004E01CF" w:rsidRDefault="003F4950">
      <w:pPr>
        <w:spacing w:before="80" w:after="80"/>
        <w:rPr>
          <w:rFonts w:ascii="Cambria" w:eastAsia="Cambria" w:hAnsi="Cambria" w:cs="Cambria"/>
          <w:b/>
          <w:sz w:val="24"/>
          <w:szCs w:val="24"/>
        </w:rPr>
      </w:pPr>
      <w:r>
        <w:rPr>
          <w:color w:val="333333"/>
          <w:sz w:val="20"/>
          <w:szCs w:val="20"/>
          <w:lang w:bidi="cs-CZ"/>
        </w:rPr>
        <w:t xml:space="preserve">                 </w:t>
      </w:r>
      <w:r>
        <w:rPr>
          <w:color w:val="333333"/>
          <w:sz w:val="20"/>
          <w:szCs w:val="20"/>
          <w:lang w:bidi="cs-CZ"/>
        </w:rPr>
        <w:t xml:space="preserve">    </w:t>
      </w:r>
    </w:p>
    <w:p w:rsidR="004E01CF" w:rsidRDefault="003F495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LÄNKAR</w:t>
      </w:r>
    </w:p>
    <w:p w:rsidR="004E01CF" w:rsidRDefault="004E01CF">
      <w:pPr>
        <w:rPr>
          <w:rFonts w:ascii="Cambria" w:eastAsia="Cambria" w:hAnsi="Cambria" w:cs="Cambria"/>
          <w:b/>
          <w:sz w:val="24"/>
          <w:szCs w:val="24"/>
        </w:rPr>
      </w:pPr>
    </w:p>
    <w:p w:rsidR="004E01CF" w:rsidRDefault="003F4950">
      <w:pPr>
        <w:numPr>
          <w:ilvl w:val="0"/>
          <w:numId w:val="1"/>
        </w:numPr>
        <w:contextualSpacing/>
        <w:rPr>
          <w:rFonts w:ascii="Cambria" w:eastAsia="Cambria" w:hAnsi="Cambria" w:cs="Cambria"/>
          <w:sz w:val="24"/>
          <w:szCs w:val="24"/>
        </w:rPr>
      </w:pPr>
      <w:hyperlink r:id="rId7">
        <w:r>
          <w:rPr>
            <w:rFonts w:ascii="Cambria" w:eastAsia="Cambria" w:hAnsi="Cambria" w:cs="Cambria"/>
            <w:color w:val="1155CC"/>
            <w:sz w:val="24"/>
            <w:szCs w:val="24"/>
            <w:u w:val="single"/>
            <w:lang w:bidi="cs-CZ"/>
          </w:rPr>
          <w:t>www.vidal.fr/recommandations/1841/infections_oculaires/prise_en_charge/</w:t>
        </w:r>
      </w:hyperlink>
    </w:p>
    <w:p w:rsidR="004E01CF" w:rsidRDefault="004E01CF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4E01CF" w:rsidRDefault="003F4950">
      <w:pPr>
        <w:keepNext/>
        <w:spacing w:before="240" w:after="24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lang w:bidi="cs-CZ"/>
        </w:rPr>
        <w:t>VERSIONSHISTORIK</w:t>
      </w:r>
    </w:p>
    <w:tbl>
      <w:tblPr>
        <w:tblStyle w:val="a0"/>
        <w:tblW w:w="9555" w:type="dxa"/>
        <w:tblInd w:w="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860"/>
        <w:gridCol w:w="3465"/>
        <w:gridCol w:w="2730"/>
      </w:tblGrid>
      <w:tr w:rsidR="004E01CF">
        <w:trPr>
          <w:trHeight w:val="480"/>
        </w:trPr>
        <w:tc>
          <w:tcPr>
            <w:tcW w:w="1500" w:type="dxa"/>
            <w:shd w:val="clear" w:color="auto" w:fill="4A86E8"/>
            <w:vAlign w:val="center"/>
          </w:tcPr>
          <w:p w:rsidR="004E01CF" w:rsidRDefault="003F4950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Version</w:t>
            </w:r>
          </w:p>
        </w:tc>
        <w:tc>
          <w:tcPr>
            <w:tcW w:w="1860" w:type="dxa"/>
            <w:shd w:val="clear" w:color="auto" w:fill="4A86E8"/>
            <w:vAlign w:val="center"/>
          </w:tcPr>
          <w:p w:rsidR="004E01CF" w:rsidRDefault="003F4950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Datum för införande</w:t>
            </w:r>
          </w:p>
        </w:tc>
        <w:tc>
          <w:tcPr>
            <w:tcW w:w="3465" w:type="dxa"/>
            <w:shd w:val="clear" w:color="auto" w:fill="4A86E8"/>
            <w:vAlign w:val="center"/>
          </w:tcPr>
          <w:p w:rsidR="004E01CF" w:rsidRDefault="003F4950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Beskrivning</w:t>
            </w:r>
          </w:p>
        </w:tc>
        <w:tc>
          <w:tcPr>
            <w:tcW w:w="2730" w:type="dxa"/>
            <w:shd w:val="clear" w:color="auto" w:fill="4A86E8"/>
            <w:vAlign w:val="center"/>
          </w:tcPr>
          <w:p w:rsidR="004E01CF" w:rsidRDefault="003F4950">
            <w:pPr>
              <w:spacing w:after="80" w:line="240" w:lineRule="auto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  <w:lang w:bidi="cs-CZ"/>
              </w:rPr>
              <w:t>Namn</w:t>
            </w:r>
          </w:p>
        </w:tc>
      </w:tr>
      <w:tr w:rsidR="004E01CF">
        <w:trPr>
          <w:trHeight w:val="420"/>
        </w:trPr>
        <w:tc>
          <w:tcPr>
            <w:tcW w:w="1500" w:type="dxa"/>
            <w:vAlign w:val="center"/>
          </w:tcPr>
          <w:p w:rsidR="004E01CF" w:rsidRDefault="003F4950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0.1</w:t>
            </w:r>
          </w:p>
        </w:tc>
        <w:tc>
          <w:tcPr>
            <w:tcW w:w="1860" w:type="dxa"/>
            <w:vAlign w:val="center"/>
          </w:tcPr>
          <w:p w:rsidR="004E01CF" w:rsidRDefault="004E01CF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:rsidR="004E01CF" w:rsidRDefault="003F4950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>Ny riktlinje</w:t>
            </w:r>
          </w:p>
        </w:tc>
        <w:tc>
          <w:tcPr>
            <w:tcW w:w="2730" w:type="dxa"/>
            <w:vAlign w:val="center"/>
          </w:tcPr>
          <w:p w:rsidR="004E01CF" w:rsidRDefault="003F4950">
            <w:pPr>
              <w:spacing w:after="80"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  <w:lang w:bidi="cs-CZ"/>
              </w:rPr>
              <w:t xml:space="preserve">Murielle Hellsten Caron </w:t>
            </w:r>
          </w:p>
        </w:tc>
      </w:tr>
    </w:tbl>
    <w:p w:rsidR="004E01CF" w:rsidRDefault="004E01CF">
      <w:pPr>
        <w:spacing w:after="80" w:line="240" w:lineRule="auto"/>
        <w:ind w:left="-567"/>
        <w:rPr>
          <w:rFonts w:ascii="Cambria" w:eastAsia="Cambria" w:hAnsi="Cambria" w:cs="Cambria"/>
          <w:sz w:val="24"/>
          <w:szCs w:val="24"/>
        </w:rPr>
      </w:pPr>
    </w:p>
    <w:p w:rsidR="004E01CF" w:rsidRDefault="004E01CF">
      <w:pPr>
        <w:rPr>
          <w:b/>
        </w:rPr>
      </w:pPr>
    </w:p>
    <w:p w:rsidR="004E01CF" w:rsidRDefault="004E01CF">
      <w:pPr>
        <w:rPr>
          <w:b/>
        </w:rPr>
      </w:pPr>
    </w:p>
    <w:p w:rsidR="004E01CF" w:rsidRDefault="004E01CF">
      <w:pPr>
        <w:rPr>
          <w:b/>
        </w:rPr>
      </w:pPr>
    </w:p>
    <w:p w:rsidR="004E01CF" w:rsidRDefault="004E01CF">
      <w:pPr>
        <w:rPr>
          <w:b/>
        </w:rPr>
      </w:pPr>
    </w:p>
    <w:p w:rsidR="004E01CF" w:rsidRDefault="004E01CF">
      <w:pPr>
        <w:rPr>
          <w:b/>
        </w:rPr>
      </w:pPr>
    </w:p>
    <w:sectPr w:rsidR="004E01CF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3F4950">
      <w:pPr>
        <w:spacing w:line="240" w:lineRule="auto"/>
      </w:pPr>
      <w:r>
        <w:separator/>
      </w:r>
    </w:p>
  </w:endnote>
  <w:endnote w:type="continuationSeparator" w:id="0">
    <w:p w:rsidR="00000000" w:rsidRDefault="003F4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1CF" w:rsidRDefault="003F4950">
    <w:pPr>
      <w:tabs>
        <w:tab w:val="right" w:pos="8640"/>
      </w:tabs>
      <w:spacing w:before="120" w:after="80" w:line="240" w:lineRule="auto"/>
    </w:pPr>
    <w:r>
      <w:rPr>
        <w:rFonts w:ascii="Cambria" w:eastAsia="Cambria" w:hAnsi="Cambria" w:cs="Cambria"/>
        <w:b/>
        <w:sz w:val="20"/>
        <w:szCs w:val="20"/>
        <w:lang w:bidi="cs-CZ"/>
      </w:rPr>
      <w:t>Riktlinjer för ögoninflammation version 1.0</w:t>
    </w:r>
    <w:r>
      <w:rPr>
        <w:rFonts w:ascii="Cambria" w:eastAsia="Cambria" w:hAnsi="Cambria" w:cs="Cambria"/>
        <w:sz w:val="20"/>
        <w:szCs w:val="20"/>
        <w:lang w:bidi="cs-CZ"/>
      </w:rPr>
      <w:tab/>
      <w:t xml:space="preserve">sida </w:t>
    </w:r>
    <w:r>
      <w:rPr>
        <w:rFonts w:ascii="Cambria" w:eastAsia="Cambria" w:hAnsi="Cambria" w:cs="Cambria"/>
        <w:sz w:val="20"/>
        <w:szCs w:val="20"/>
        <w:lang w:bidi="cs-CZ"/>
      </w:rPr>
      <w:fldChar w:fldCharType="begin"/>
    </w:r>
    <w:r>
      <w:rPr>
        <w:rFonts w:ascii="Cambria" w:eastAsia="Cambria" w:hAnsi="Cambria" w:cs="Cambria"/>
        <w:sz w:val="20"/>
        <w:szCs w:val="20"/>
        <w:lang w:bidi="cs-CZ"/>
      </w:rPr>
      <w:instrText>PAGE</w:instrText>
    </w:r>
    <w:r>
      <w:rPr>
        <w:rFonts w:ascii="Cambria" w:eastAsia="Cambria" w:hAnsi="Cambria" w:cs="Cambria"/>
        <w:sz w:val="20"/>
        <w:szCs w:val="20"/>
        <w:lang w:bidi="cs-CZ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cs-CZ"/>
      </w:rPr>
      <w:t>1</w:t>
    </w:r>
    <w:r>
      <w:rPr>
        <w:rFonts w:ascii="Cambria" w:eastAsia="Cambria" w:hAnsi="Cambria" w:cs="Cambria"/>
        <w:sz w:val="20"/>
        <w:szCs w:val="20"/>
        <w:lang w:bidi="cs-CZ"/>
      </w:rPr>
      <w:fldChar w:fldCharType="end"/>
    </w:r>
    <w:r>
      <w:rPr>
        <w:rFonts w:ascii="Cambria" w:eastAsia="Cambria" w:hAnsi="Cambria" w:cs="Cambria"/>
        <w:sz w:val="20"/>
        <w:szCs w:val="20"/>
        <w:lang w:bidi="cs-CZ"/>
      </w:rPr>
      <w:t xml:space="preserve"> av </w:t>
    </w:r>
    <w:r>
      <w:rPr>
        <w:rFonts w:ascii="Cambria" w:eastAsia="Cambria" w:hAnsi="Cambria" w:cs="Cambria"/>
        <w:sz w:val="20"/>
        <w:szCs w:val="20"/>
        <w:lang w:bidi="cs-CZ"/>
      </w:rPr>
      <w:fldChar w:fldCharType="begin"/>
    </w:r>
    <w:r>
      <w:rPr>
        <w:rFonts w:ascii="Cambria" w:eastAsia="Cambria" w:hAnsi="Cambria" w:cs="Cambria"/>
        <w:sz w:val="20"/>
        <w:szCs w:val="20"/>
        <w:lang w:bidi="cs-CZ"/>
      </w:rPr>
      <w:instrText>NUMPAGES</w:instrText>
    </w:r>
    <w:r>
      <w:rPr>
        <w:rFonts w:ascii="Cambria" w:eastAsia="Cambria" w:hAnsi="Cambria" w:cs="Cambria"/>
        <w:sz w:val="20"/>
        <w:szCs w:val="20"/>
        <w:lang w:bidi="cs-CZ"/>
      </w:rPr>
      <w:fldChar w:fldCharType="separate"/>
    </w:r>
    <w:r>
      <w:rPr>
        <w:rFonts w:ascii="Cambria" w:eastAsia="Cambria" w:hAnsi="Cambria" w:cs="Cambria"/>
        <w:noProof/>
        <w:sz w:val="20"/>
        <w:szCs w:val="20"/>
        <w:lang w:bidi="cs-CZ"/>
      </w:rPr>
      <w:t>1</w:t>
    </w:r>
    <w:r>
      <w:rPr>
        <w:rFonts w:ascii="Cambria" w:eastAsia="Cambria" w:hAnsi="Cambria" w:cs="Cambria"/>
        <w:sz w:val="20"/>
        <w:szCs w:val="20"/>
        <w:lang w:bidi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3F4950">
      <w:pPr>
        <w:spacing w:line="240" w:lineRule="auto"/>
      </w:pPr>
      <w:r>
        <w:separator/>
      </w:r>
    </w:p>
  </w:footnote>
  <w:footnote w:type="continuationSeparator" w:id="0">
    <w:p w:rsidR="00000000" w:rsidRDefault="003F4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01CF" w:rsidRDefault="003F4950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Calibri" w:eastAsia="Calibri" w:hAnsi="Calibri" w:cs="Calibri"/>
        <w:sz w:val="32"/>
        <w:szCs w:val="32"/>
        <w:lang w:bidi="cs-CZ"/>
      </w:rPr>
      <w:tab/>
    </w:r>
    <w:r>
      <w:rPr>
        <w:rFonts w:ascii="Times New Roman" w:eastAsia="Times New Roman" w:hAnsi="Times New Roman" w:cs="Times New Roman"/>
        <w:noProof/>
        <w:lang w:bidi="cs-CZ"/>
      </w:rPr>
      <w:drawing>
        <wp:inline distT="19050" distB="19050" distL="19050" distR="19050">
          <wp:extent cx="1076850" cy="477167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6850" cy="477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E01CF" w:rsidRDefault="003F4950">
    <w:pPr>
      <w:tabs>
        <w:tab w:val="right" w:pos="8550"/>
      </w:tabs>
      <w:spacing w:before="120" w:after="8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  <w:lang w:bidi="cs-CZ"/>
      </w:rPr>
      <mc:AlternateContent>
        <mc:Choice Requires="wps">
          <w:drawing>
            <wp:inline distT="152400" distB="152400" distL="152400" distR="152400">
              <wp:extent cx="5638800" cy="25400"/>
              <wp:effectExtent l="0" t="0" r="0" 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836508" y="3780000"/>
                        <a:ext cx="5018984" cy="1"/>
                      </a:xfrm>
                      <a:prstGeom prst="straightConnector1">
                        <a:avLst/>
                      </a:prstGeom>
                      <a:noFill/>
                      <a:ln w="25400" cap="flat" cmpd="sng">
                        <a:solidFill>
                          <a:srgbClr val="CD0F0F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type w14:anchorId="7F6A92C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width:444pt;height:2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" strokecolor="#cd0f0f" strokeweight="2pt">
              <v:stroke startarrowwidth="narrow" startarrowlength="short" endarrowwidth="narrow" endarrowlength="short" miterlimit="5243f" joinstyle="miter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2C7"/>
    <w:multiLevelType w:val="multilevel"/>
    <w:tmpl w:val="D6003F0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A513B"/>
    <w:multiLevelType w:val="multilevel"/>
    <w:tmpl w:val="03E24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7E1C7D"/>
    <w:multiLevelType w:val="multilevel"/>
    <w:tmpl w:val="34AC02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546A2"/>
    <w:multiLevelType w:val="multilevel"/>
    <w:tmpl w:val="07548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000C40"/>
    <w:multiLevelType w:val="multilevel"/>
    <w:tmpl w:val="25964D9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color w:val="191919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1CF"/>
    <w:rsid w:val="003F4950"/>
    <w:rsid w:val="004E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59668F-3765-4829-B126-01CCFB12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al.fr/recommandations/1841/infections_oculaires/prise_en_char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4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2019-02-12T09:14:00Z</dcterms:created>
  <dcterms:modified xsi:type="dcterms:W3CDTF">2019-02-12T09:14:00Z</dcterms:modified>
</cp:coreProperties>
</file>