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auto"/>
        <w:jc w:val="center"/>
      </w:pPr>
      <w:r>
        <w:rPr>
          <w:rFonts w:ascii="Times New Roman" w:cs="Times New Roman" w:eastAsia="黑体" w:hAnsi="Times New Roman"/>
          <w:b/>
          <w:bCs/>
          <w:sz w:val="36"/>
          <w:szCs w:val="36"/>
        </w:rPr>
        <w:t xml:space="preserve">成本模型及可行性分析</w:t>
      </w:r>
    </w:p>
    <w:p>
      <w:pPr>
        <w:spacing w:line="360" w:lineRule="auto"/>
      </w:pPr>
    </w:p>
    <w:p>
      <w:pPr>
        <w:spacing w:line="360" w:lineRule="auto"/>
        <w:jc w:val="both"/>
      </w:pPr>
      <w:r>
        <w:rPr>
          <w:rFonts w:ascii="Times New Roman" w:cs="Times New Roman" w:eastAsia="黑体" w:hAnsi="Times New Roman"/>
          <w:b/>
          <w:bCs/>
          <w:sz w:val="32"/>
          <w:szCs w:val="32"/>
        </w:rPr>
        <w:t xml:space="preserve">一、成本模型</w:t>
      </w:r>
    </w:p>
    <w:p>
      <w:pPr>
        <w:spacing w:line="360" w:lineRule="auto"/>
        <w:ind w:firstLine="560"/>
        <w:jc w:val="left"/>
      </w:pPr>
      <w:r>
        <w:rPr>
          <w:rFonts w:ascii="Times New Roman" w:cs="Times New Roman" w:eastAsia="仿宋" w:hAnsi="Times New Roman"/>
          <w:sz w:val="28"/>
          <w:szCs w:val="28"/>
        </w:rPr>
        <w:t xml:space="preserve">项目整体方案是在现有技术生态的基础上进行构建，项目的成本将会严重影响项目实施的可行性和实施难度，因而在项目整体设计和实现上，首先需要对于项目整体的实施成本进行分析，并提出相应的适合实际情况的解决方案。</w:t>
      </w:r>
    </w:p>
    <w:p>
      <w:pPr>
        <w:spacing w:line="360" w:lineRule="auto"/>
        <w:ind w:firstLine="560"/>
        <w:jc w:val="left"/>
      </w:pPr>
      <w:r>
        <w:rPr>
          <w:rFonts w:ascii="Times New Roman" w:cs="Times New Roman" w:eastAsia="仿宋" w:hAnsi="Times New Roman"/>
          <w:sz w:val="28"/>
          <w:szCs w:val="28"/>
        </w:rPr>
        <w:t xml:space="preserve">在整个项目实施的过程中，所产生的相关成本以及成本对策方案如下：</w:t>
      </w:r>
    </w:p>
    <w:p>
      <w:pPr>
        <w:spacing w:line="360" w:lineRule="auto"/>
        <w:ind w:firstLine="560"/>
        <w:jc w:val="left"/>
      </w:pPr>
      <w:r>
        <w:rPr>
          <w:rFonts w:ascii="Times New Roman" w:cs="Times New Roman" w:eastAsia="仿宋" w:hAnsi="Times New Roman"/>
          <w:b/>
          <w:bCs/>
          <w:sz w:val="28"/>
          <w:szCs w:val="28"/>
        </w:rPr>
        <w:t xml:space="preserve">1）硬件系统实施</w:t>
      </w:r>
    </w:p>
    <w:p>
      <w:pPr>
        <w:spacing w:line="360" w:lineRule="auto"/>
        <w:ind w:firstLine="560"/>
        <w:jc w:val="left"/>
      </w:pPr>
      <w:r>
        <w:rPr>
          <w:rFonts w:ascii="Times New Roman" w:cs="Times New Roman" w:eastAsia="仿宋" w:hAnsi="Times New Roman"/>
          <w:sz w:val="28"/>
          <w:szCs w:val="28"/>
        </w:rPr>
        <w:t xml:space="preserve">出于现代计算机发展普及程度以及成本和项目实施的难度等方面综合考虑，本项目的硬件方案实施上，用户无需另行购入任何硬件设施，只需通过网络登录本系统平台即可使用，为用户降低在使用过程中的不必要成本，减轻方案实施难度。系统服务端可部署于普通云主机或校内服务器，最低配置 2 核 4GB 即可支撑中小规模的课程与用户量，硬件投入成本低。</w:t>
      </w:r>
    </w:p>
    <w:p>
      <w:pPr>
        <w:spacing w:line="360" w:lineRule="auto"/>
        <w:ind w:firstLine="560"/>
        <w:jc w:val="left"/>
      </w:pPr>
      <w:r>
        <w:rPr>
          <w:rFonts w:ascii="Times New Roman" w:cs="Times New Roman" w:eastAsia="仿宋" w:hAnsi="Times New Roman"/>
          <w:b/>
          <w:bCs/>
          <w:sz w:val="28"/>
          <w:szCs w:val="28"/>
        </w:rPr>
        <w:t xml:space="preserve">2）网络构建成本策略</w:t>
      </w:r>
    </w:p>
    <w:p>
      <w:pPr>
        <w:spacing w:line="360" w:lineRule="auto"/>
        <w:ind w:firstLine="560"/>
        <w:jc w:val="left"/>
      </w:pPr>
      <w:r>
        <w:rPr>
          <w:rFonts w:ascii="Times New Roman" w:cs="Times New Roman" w:eastAsia="仿宋" w:hAnsi="Times New Roman"/>
          <w:sz w:val="28"/>
          <w:szCs w:val="28"/>
        </w:rPr>
        <w:t xml:space="preserve">本项目采用 SaaS 化服务模式，前后端分离部署，前端静态资源可通过 CDN 加速分发，后端 API 服务集中部署。统一建设、部署平台，打造标准化 SaaS 产品，减少接入成本、运营成本和时间。对于学校等机构用户，也支持私有化部署，将系统部署在校内服务器上，保障数据安全与内网访问速度。</w:t>
      </w:r>
    </w:p>
    <w:p>
      <w:pPr>
        <w:spacing w:line="360" w:lineRule="auto"/>
        <w:ind w:firstLine="560"/>
        <w:jc w:val="left"/>
      </w:pPr>
      <w:r>
        <w:rPr>
          <w:rFonts w:ascii="Times New Roman" w:cs="Times New Roman" w:eastAsia="仿宋" w:hAnsi="Times New Roman"/>
          <w:b/>
          <w:bCs/>
          <w:sz w:val="28"/>
          <w:szCs w:val="28"/>
        </w:rPr>
        <w:t xml:space="preserve">3）AI 服务调用成本</w:t>
      </w:r>
    </w:p>
    <w:p>
      <w:pPr>
        <w:spacing w:line="360" w:lineRule="auto"/>
        <w:ind w:firstLine="560"/>
        <w:jc w:val="left"/>
      </w:pPr>
      <w:r>
        <w:rPr>
          <w:rFonts w:ascii="Times New Roman" w:cs="Times New Roman" w:eastAsia="仿宋" w:hAnsi="Times New Roman"/>
          <w:sz w:val="28"/>
          <w:szCs w:val="28"/>
        </w:rPr>
        <w:t xml:space="preserve">系统的 AI 能力（知识抽取、AIGC 生成、RAG 问答）基于大语言模型 API 实现，按 token 用量计费。具体成本构成如下：</w:t>
      </w:r>
    </w:p>
    <w:p>
      <w:pPr>
        <w:spacing w:line="360" w:lineRule="auto"/>
        <w:ind w:firstLine="560"/>
        <w:jc w:val="left"/>
      </w:pPr>
      <w:r>
        <w:rPr>
          <w:rFonts w:ascii="Times New Roman" w:cs="Times New Roman" w:eastAsia="仿宋" w:hAnsi="Times New Roman"/>
          <w:sz w:val="28"/>
          <w:szCs w:val="28"/>
        </w:rPr>
        <w:t xml:space="preserve">• 知识抽取：一门约 50 页的课程文档，抽取成本约为 0.5~1 元，一次抽取即可沉淀为课程图谱，后续可反复使用。</w:t>
      </w:r>
    </w:p>
    <w:p>
      <w:pPr>
        <w:spacing w:line="360" w:lineRule="auto"/>
        <w:ind w:firstLine="560"/>
        <w:jc w:val="left"/>
      </w:pPr>
      <w:r>
        <w:rPr>
          <w:rFonts w:ascii="Times New Roman" w:cs="Times New Roman" w:eastAsia="仿宋" w:hAnsi="Times New Roman"/>
          <w:sz w:val="28"/>
          <w:szCs w:val="28"/>
        </w:rPr>
        <w:t xml:space="preserve">• AIGC 图谱生成：单次生成约 0.3~0.5 元，即可得到包含 30~50 个核心节点的图谱草稿。</w:t>
      </w:r>
    </w:p>
    <w:p>
      <w:pPr>
        <w:spacing w:line="360" w:lineRule="auto"/>
        <w:ind w:firstLine="560"/>
        <w:jc w:val="left"/>
      </w:pPr>
      <w:r>
        <w:rPr>
          <w:rFonts w:ascii="Times New Roman" w:cs="Times New Roman" w:eastAsia="仿宋" w:hAnsi="Times New Roman"/>
          <w:sz w:val="28"/>
          <w:szCs w:val="28"/>
        </w:rPr>
        <w:t xml:space="preserve">• RAG 智能问答：单次问答约 0.01~0.05 元，学生日常学习答疑的成本极低。</w:t>
      </w:r>
    </w:p>
    <w:p>
      <w:pPr>
        <w:spacing w:line="360" w:lineRule="auto"/>
        <w:ind w:firstLine="560"/>
        <w:jc w:val="left"/>
      </w:pPr>
      <w:r>
        <w:rPr>
          <w:rFonts w:ascii="Times New Roman" w:cs="Times New Roman" w:eastAsia="仿宋" w:hAnsi="Times New Roman"/>
          <w:sz w:val="28"/>
          <w:szCs w:val="28"/>
        </w:rPr>
        <w:t xml:space="preserve">成本优化策略：对于高频问题建立问答缓存，相同问题直接返回缓存答案；知识抽取结果入库后复用，避免重复调用大模型；对于非实时性需求（如批量抽取）可使用更经济的模型版本。综合来看，AI 调用成本在可接受范围内，且随着课程数量与用户量的增长，边际成本持续降低。</w:t>
      </w:r>
    </w:p>
    <w:p>
      <w:pPr>
        <w:spacing w:line="360" w:lineRule="auto"/>
        <w:ind w:firstLine="560"/>
        <w:jc w:val="left"/>
      </w:pPr>
      <w:r>
        <w:rPr>
          <w:rFonts w:ascii="Times New Roman" w:cs="Times New Roman" w:eastAsia="仿宋" w:hAnsi="Times New Roman"/>
          <w:b/>
          <w:bCs/>
          <w:sz w:val="28"/>
          <w:szCs w:val="28"/>
        </w:rPr>
        <w:t xml:space="preserve">4）人力与开发成本</w:t>
      </w:r>
    </w:p>
    <w:p>
      <w:pPr>
        <w:spacing w:line="360" w:lineRule="auto"/>
        <w:ind w:firstLine="560"/>
        <w:jc w:val="left"/>
      </w:pPr>
      <w:r>
        <w:rPr>
          <w:rFonts w:ascii="Times New Roman" w:cs="Times New Roman" w:eastAsia="仿宋" w:hAnsi="Times New Roman"/>
          <w:sz w:val="28"/>
          <w:szCs w:val="28"/>
        </w:rPr>
        <w:t xml:space="preserve">项目开发团队由 5 人组成（产品经理、前端开发、后端开发、科研助理、AI 算法工程师），在 2~3 个月的开发周期内完成系统的核心功能开发与测试。团队成员各有所长，分工协作，最大化开发效率。由于采用了成熟的开源技术栈（React、FastAPI、AntV G6、jieba 等），无需从零造轮子，大大降低了开发成本与风险。</w:t>
      </w:r>
    </w:p>
    <w:p>
      <w:pPr>
        <w:spacing w:line="360" w:lineRule="auto"/>
      </w:pPr>
    </w:p>
    <w:p>
      <w:pPr>
        <w:spacing w:line="360" w:lineRule="auto"/>
        <w:jc w:val="both"/>
      </w:pPr>
      <w:r>
        <w:rPr>
          <w:rFonts w:ascii="Times New Roman" w:cs="Times New Roman" w:eastAsia="黑体" w:hAnsi="Times New Roman"/>
          <w:b/>
          <w:bCs/>
          <w:sz w:val="32"/>
          <w:szCs w:val="32"/>
        </w:rPr>
        <w:t xml:space="preserve">二、可行性分析</w:t>
      </w:r>
    </w:p>
    <w:p>
      <w:pPr>
        <w:spacing w:line="360" w:lineRule="auto"/>
        <w:jc w:val="left"/>
      </w:pPr>
      <w:r>
        <w:rPr>
          <w:rFonts w:ascii="Times New Roman" w:cs="Times New Roman" w:eastAsia="黑体" w:hAnsi="Times New Roman"/>
          <w:b/>
          <w:bCs/>
          <w:sz w:val="30"/>
          <w:szCs w:val="30"/>
        </w:rPr>
        <w:t xml:space="preserve">2.1 背景可行性</w:t>
      </w:r>
    </w:p>
    <w:p>
      <w:pPr>
        <w:spacing w:line="360" w:lineRule="auto"/>
        <w:jc w:val="left"/>
      </w:pPr>
      <w:r>
        <w:rPr>
          <w:rFonts w:ascii="Times New Roman" w:cs="Times New Roman" w:eastAsia="黑体" w:hAnsi="Times New Roman"/>
          <w:b/>
          <w:bCs/>
          <w:sz w:val="30"/>
          <w:szCs w:val="30"/>
        </w:rPr>
        <w:t xml:space="preserve">2.1.1 教育数字化与智慧教育发展迅猛</w:t>
      </w:r>
    </w:p>
    <w:p>
      <w:pPr>
        <w:spacing w:line="360" w:lineRule="auto"/>
        <w:ind w:firstLine="560"/>
        <w:jc w:val="left"/>
      </w:pPr>
      <w:r>
        <w:rPr>
          <w:rFonts w:ascii="Times New Roman" w:cs="Times New Roman" w:eastAsia="仿宋" w:hAnsi="Times New Roman"/>
          <w:sz w:val="28"/>
          <w:szCs w:val="28"/>
        </w:rPr>
        <w:t xml:space="preserve">近年来，随着我国教育数字化战略行动的深入推进，智慧教育、教育信息化已成为教育领域的重要发展方向。《中国教育现代化 2035》明确提出要加快信息化时代教育变革，建设智能化校园，统筹建设一体化智能化教学、管理与服务平台。AI + 教育的融合不断深化，为知识图谱、智能问答、个性化学习等技术的落地应用提供了优越的政策与市场环境。</w:t>
      </w:r>
    </w:p>
    <w:p>
      <w:pPr>
        <w:spacing w:line="360" w:lineRule="auto"/>
        <w:jc w:val="left"/>
      </w:pPr>
      <w:r>
        <w:rPr>
          <w:rFonts w:ascii="Times New Roman" w:cs="Times New Roman" w:eastAsia="黑体" w:hAnsi="Times New Roman"/>
          <w:b/>
          <w:bCs/>
          <w:sz w:val="30"/>
          <w:szCs w:val="30"/>
        </w:rPr>
        <w:t xml:space="preserve">2.1.2 AIGC 技术赋能教育应用不断增长</w:t>
      </w:r>
    </w:p>
    <w:p>
      <w:pPr>
        <w:spacing w:line="360" w:lineRule="auto"/>
        <w:ind w:firstLine="560"/>
        <w:jc w:val="left"/>
      </w:pPr>
      <w:r>
        <w:rPr>
          <w:rFonts w:ascii="Times New Roman" w:cs="Times New Roman" w:eastAsia="仿宋" w:hAnsi="Times New Roman"/>
          <w:sz w:val="28"/>
          <w:szCs w:val="28"/>
        </w:rPr>
        <w:t xml:space="preserve">随着大语言模型技术的飞速发展，AIGC 在教育领域的应用场景不断拓展，从智能批改、智能答疑到个性化学习推荐，AIGC 正在深刻改变教育的形态。知识图谱作为结构化知识组织的重要方式，与 AIGC 结合后能够实现知识的自动抽取、图谱的快速构建、智能的问答导航，为教育领域带来新的可能性。越来越多的学校和教师开始尝试将知识图谱引入教学，市场需求持续增长。</w:t>
      </w:r>
    </w:p>
    <w:p>
      <w:pPr>
        <w:spacing w:line="360" w:lineRule="auto"/>
        <w:jc w:val="left"/>
      </w:pPr>
      <w:r>
        <w:rPr>
          <w:rFonts w:ascii="Times New Roman" w:cs="Times New Roman" w:eastAsia="黑体" w:hAnsi="Times New Roman"/>
          <w:b/>
          <w:bCs/>
          <w:sz w:val="30"/>
          <w:szCs w:val="30"/>
        </w:rPr>
        <w:t xml:space="preserve">2.2 技术可行性</w:t>
      </w:r>
    </w:p>
    <w:p>
      <w:pPr>
        <w:spacing w:line="360" w:lineRule="auto"/>
        <w:ind w:firstLine="560"/>
        <w:jc w:val="left"/>
      </w:pPr>
      <w:r>
        <w:rPr>
          <w:rFonts w:ascii="Times New Roman" w:cs="Times New Roman" w:eastAsia="仿宋" w:hAnsi="Times New Roman"/>
          <w:sz w:val="28"/>
          <w:szCs w:val="28"/>
        </w:rPr>
        <w:t xml:space="preserve">智绘千里系统基于成熟的技术栈构建，各项核心技术均有可靠的实现方案，技术可行性高。</w:t>
      </w:r>
    </w:p>
    <w:p>
      <w:pPr>
        <w:spacing w:line="360" w:lineRule="auto"/>
        <w:ind w:firstLine="560"/>
        <w:jc w:val="left"/>
      </w:pPr>
      <w:r>
        <w:rPr>
          <w:rFonts w:ascii="Times New Roman" w:cs="Times New Roman" w:eastAsia="仿宋" w:hAnsi="Times New Roman"/>
          <w:b/>
          <w:bCs/>
          <w:sz w:val="28"/>
          <w:szCs w:val="28"/>
        </w:rPr>
        <w:t xml:space="preserve">（1）知识图谱可视化技术</w:t>
      </w:r>
    </w:p>
    <w:p>
      <w:pPr>
        <w:spacing w:line="360" w:lineRule="auto"/>
        <w:ind w:firstLine="560"/>
        <w:jc w:val="left"/>
      </w:pPr>
      <w:r>
        <w:rPr>
          <w:rFonts w:ascii="Times New Roman" w:cs="Times New Roman" w:eastAsia="仿宋" w:hAnsi="Times New Roman"/>
          <w:sz w:val="28"/>
          <w:szCs w:val="28"/>
        </w:rPr>
        <w:t xml:space="preserve">AntV G6 是蚂蚁集团开源的图可视化引擎，经过多年发展，功能完善、性能优秀、社区活跃，支持 Canvas2D 高性能渲染、力导向布局、丰富的交互事件与自定义节点样式，完全能够满足知识图谱的可视化需求。配合 g-plugin-rough-canvas-renderer 插件可实现手绘风格渲染，视觉效果出色。</w:t>
      </w:r>
    </w:p>
    <w:p>
      <w:pPr>
        <w:spacing w:line="360" w:lineRule="auto"/>
        <w:ind w:firstLine="560"/>
        <w:jc w:val="left"/>
      </w:pPr>
      <w:r>
        <w:rPr>
          <w:rFonts w:ascii="Times New Roman" w:cs="Times New Roman" w:eastAsia="仿宋" w:hAnsi="Times New Roman"/>
          <w:b/>
          <w:bCs/>
          <w:sz w:val="28"/>
          <w:szCs w:val="28"/>
        </w:rPr>
        <w:t xml:space="preserve">（2）大语言模型与 RAG 技术</w:t>
      </w:r>
    </w:p>
    <w:p>
      <w:pPr>
        <w:spacing w:line="360" w:lineRule="auto"/>
        <w:ind w:firstLine="560"/>
        <w:jc w:val="left"/>
      </w:pPr>
      <w:r>
        <w:rPr>
          <w:rFonts w:ascii="Times New Roman" w:cs="Times New Roman" w:eastAsia="仿宋" w:hAnsi="Times New Roman"/>
          <w:sz w:val="28"/>
          <w:szCs w:val="28"/>
        </w:rPr>
        <w:t xml:space="preserve">大语言模型技术近年来取得突破性进展，模型能力不断提升，API 服务日益成熟，调用便捷且成本可控。RAG（检索增强生成）技术将检索与生成相结合，能够有效解决大模型幻觉问题，使回答基于具体的课程知识库，保证准确性与可溯源性。这一技术路线已在多个行业得到验证，技术成熟度高。</w:t>
      </w:r>
    </w:p>
    <w:p>
      <w:pPr>
        <w:spacing w:line="360" w:lineRule="auto"/>
        <w:ind w:firstLine="560"/>
        <w:jc w:val="left"/>
      </w:pPr>
      <w:r>
        <w:rPr>
          <w:rFonts w:ascii="Times New Roman" w:cs="Times New Roman" w:eastAsia="仿宋" w:hAnsi="Times New Roman"/>
          <w:b/>
          <w:bCs/>
          <w:sz w:val="28"/>
          <w:szCs w:val="28"/>
        </w:rPr>
        <w:t xml:space="preserve">（3）前后端技术栈</w:t>
      </w:r>
    </w:p>
    <w:p>
      <w:pPr>
        <w:spacing w:line="360" w:lineRule="auto"/>
        <w:ind w:firstLine="560"/>
        <w:jc w:val="left"/>
      </w:pPr>
      <w:r>
        <w:rPr>
          <w:rFonts w:ascii="Times New Roman" w:cs="Times New Roman" w:eastAsia="仿宋" w:hAnsi="Times New Roman"/>
          <w:sz w:val="28"/>
          <w:szCs w:val="28"/>
        </w:rPr>
        <w:t xml:space="preserve">前端采用 React + Vite + TypeScript 的主流技术栈，生态成熟、开发效率高、社区支持完善。后端采用 FastAPI + SQLite 的轻量组合，开发速度快、部署简单、性能足以支撑中小规模应用。JWT + RBAC 的权限体系成熟可靠，能够满足双角色的权限隔离需求。</w:t>
      </w:r>
    </w:p>
    <w:p>
      <w:pPr>
        <w:spacing w:line="360" w:lineRule="auto"/>
        <w:jc w:val="left"/>
      </w:pPr>
      <w:r>
        <w:rPr>
          <w:rFonts w:ascii="Times New Roman" w:cs="Times New Roman" w:eastAsia="黑体" w:hAnsi="Times New Roman"/>
          <w:b/>
          <w:bCs/>
          <w:sz w:val="30"/>
          <w:szCs w:val="30"/>
        </w:rPr>
        <w:t xml:space="preserve">2.3 市场可行性</w:t>
      </w:r>
    </w:p>
    <w:p>
      <w:pPr>
        <w:spacing w:line="360" w:lineRule="auto"/>
        <w:ind w:firstLine="560"/>
        <w:jc w:val="left"/>
      </w:pPr>
      <w:r>
        <w:rPr>
          <w:rFonts w:ascii="Times New Roman" w:cs="Times New Roman" w:eastAsia="仿宋" w:hAnsi="Times New Roman"/>
          <w:sz w:val="28"/>
          <w:szCs w:val="28"/>
        </w:rPr>
        <w:t xml:space="preserve">随着教育数字化的深入与 AIGC 技术的普及，知识图谱在教育领域的应用需求日益增长。教师需要高效的建图工具，学生需要智能的学习导航。智绘千里正好契合这两大需求，具有广阔的市场空间。</w:t>
      </w:r>
    </w:p>
    <w:p>
      <w:pPr>
        <w:spacing w:line="360" w:lineRule="auto"/>
        <w:ind w:firstLine="560"/>
        <w:jc w:val="left"/>
      </w:pPr>
      <w:r>
        <w:rPr>
          <w:rFonts w:ascii="Times New Roman" w:cs="Times New Roman" w:eastAsia="仿宋" w:hAnsi="Times New Roman"/>
          <w:sz w:val="28"/>
          <w:szCs w:val="28"/>
        </w:rPr>
        <w:t xml:space="preserve">根据教育行业的发展趋势来看，未来智慧教育市场中，工具型产品与平台型产品将长期共存。中小学校与教师个人需要轻量易用的建图工具，降低知识图谱的使用门槛；高校与在线教育平台需要完整的知识图谱导学平台，提升教学质量与学习体验。无论哪种模式，都为知识图谱智能导学产品提供了发展机遇。</w:t>
      </w:r>
    </w:p>
    <w:p>
      <w:pPr>
        <w:spacing w:line="360" w:lineRule="auto"/>
        <w:jc w:val="left"/>
      </w:pPr>
      <w:r>
        <w:rPr>
          <w:rFonts w:ascii="Times New Roman" w:cs="Times New Roman" w:eastAsia="黑体" w:hAnsi="Times New Roman"/>
          <w:b/>
          <w:bCs/>
          <w:sz w:val="30"/>
          <w:szCs w:val="30"/>
        </w:rPr>
        <w:t xml:space="preserve">2.3.1 市场价值</w:t>
      </w:r>
    </w:p>
    <w:p>
      <w:pPr>
        <w:spacing w:line="360" w:lineRule="auto"/>
        <w:ind w:firstLine="560"/>
        <w:jc w:val="left"/>
      </w:pPr>
      <w:r>
        <w:rPr>
          <w:rFonts w:ascii="Times New Roman" w:cs="Times New Roman" w:eastAsia="仿宋" w:hAnsi="Times New Roman"/>
          <w:sz w:val="28"/>
          <w:szCs w:val="28"/>
        </w:rPr>
        <w:t xml:space="preserve">本项目产品的受众群体大，应用范围广，主要面向高校教师、高校学生以及在线教育平台三类用户。</w:t>
      </w:r>
    </w:p>
    <w:p>
      <w:pPr>
        <w:spacing w:line="360" w:lineRule="auto"/>
        <w:ind w:firstLine="560"/>
        <w:jc w:val="left"/>
      </w:pPr>
      <w:r>
        <w:rPr>
          <w:rFonts w:ascii="Times New Roman" w:cs="Times New Roman" w:eastAsia="仿宋" w:hAnsi="Times New Roman"/>
          <w:b/>
          <w:bCs/>
          <w:sz w:val="28"/>
          <w:szCs w:val="28"/>
        </w:rPr>
        <w:t xml:space="preserve">（1）高校教师</w:t>
      </w:r>
    </w:p>
    <w:p>
      <w:pPr>
        <w:spacing w:line="360" w:lineRule="auto"/>
        <w:ind w:firstLine="560"/>
        <w:jc w:val="left"/>
      </w:pPr>
      <w:r>
        <w:rPr>
          <w:rFonts w:ascii="Times New Roman" w:cs="Times New Roman" w:eastAsia="仿宋" w:hAnsi="Times New Roman"/>
          <w:sz w:val="28"/>
          <w:szCs w:val="28"/>
        </w:rPr>
        <w:t xml:space="preserve">高校教师是知识图谱构建的核心需求方。传统的手工建图方式效率低、维护难，教师往往有心无力。智绘千里提供的"上传文档 + AI 生成 + 校对发布"的高效建图流程，能够将建图时间从小时级压缩到分钟级，极大地降低了教师的建图门槛，让知识图谱真正成为教学辅助工具。</w:t>
      </w:r>
    </w:p>
    <w:p>
      <w:pPr>
        <w:spacing w:line="360" w:lineRule="auto"/>
        <w:ind w:firstLine="560"/>
        <w:jc w:val="left"/>
      </w:pPr>
      <w:r>
        <w:rPr>
          <w:rFonts w:ascii="Times New Roman" w:cs="Times New Roman" w:eastAsia="仿宋" w:hAnsi="Times New Roman"/>
          <w:b/>
          <w:bCs/>
          <w:sz w:val="28"/>
          <w:szCs w:val="28"/>
        </w:rPr>
        <w:t xml:space="preserve">（2）高校学生</w:t>
      </w:r>
    </w:p>
    <w:p>
      <w:pPr>
        <w:spacing w:line="360" w:lineRule="auto"/>
        <w:ind w:firstLine="560"/>
        <w:jc w:val="left"/>
      </w:pPr>
      <w:r>
        <w:rPr>
          <w:rFonts w:ascii="Times New Roman" w:cs="Times New Roman" w:eastAsia="仿宋" w:hAnsi="Times New Roman"/>
          <w:sz w:val="28"/>
          <w:szCs w:val="28"/>
        </w:rPr>
        <w:t xml:space="preserve">高校学生是知识图谱学习的直接受益者。面对庞大的课程知识体系，学生往往缺乏整体认知，学习效率低下。智绘千里以知识图谱为核心，提供图谱探索、智能问答、路径推荐、进度追踪等全流程学习导航，帮助学生建立完整的知识体系，提升学习效率与效果。</w:t>
      </w:r>
    </w:p>
    <w:p>
      <w:pPr>
        <w:spacing w:line="360" w:lineRule="auto"/>
        <w:ind w:firstLine="560"/>
        <w:jc w:val="left"/>
      </w:pPr>
      <w:r>
        <w:rPr>
          <w:rFonts w:ascii="Times New Roman" w:cs="Times New Roman" w:eastAsia="仿宋" w:hAnsi="Times New Roman"/>
          <w:b/>
          <w:bCs/>
          <w:sz w:val="28"/>
          <w:szCs w:val="28"/>
        </w:rPr>
        <w:t xml:space="preserve">（3）在线教育平台</w:t>
      </w:r>
    </w:p>
    <w:p>
      <w:pPr>
        <w:spacing w:line="360" w:lineRule="auto"/>
        <w:ind w:firstLine="560"/>
        <w:jc w:val="left"/>
      </w:pPr>
      <w:r>
        <w:rPr>
          <w:rFonts w:ascii="Times New Roman" w:cs="Times New Roman" w:eastAsia="仿宋" w:hAnsi="Times New Roman"/>
          <w:sz w:val="28"/>
          <w:szCs w:val="28"/>
        </w:rPr>
        <w:t xml:space="preserve">在线教育平台需要优质的内容组织方式与学习体验来提升用户留存与满意度。知识图谱作为一种结构化的知识导航方式，能够有效提升平台的课程质量与学习体验。智绘千里的技术方案可以赋能在线教育平台，为其提供知识图谱构建与智能导学的一体化解决方案。</w:t>
      </w:r>
    </w:p>
    <w:p>
      <w:pPr>
        <w:spacing w:line="360" w:lineRule="auto"/>
        <w:jc w:val="left"/>
      </w:pPr>
      <w:r>
        <w:rPr>
          <w:rFonts w:ascii="Times New Roman" w:cs="Times New Roman" w:eastAsia="黑体" w:hAnsi="Times New Roman"/>
          <w:b/>
          <w:bCs/>
          <w:sz w:val="30"/>
          <w:szCs w:val="30"/>
        </w:rPr>
        <w:t xml:space="preserve">2.4 风险分析与对策</w:t>
      </w:r>
    </w:p>
    <w:p>
      <w:pPr>
        <w:spacing w:line="360" w:lineRule="auto"/>
        <w:jc w:val="left"/>
      </w:pPr>
      <w:r>
        <w:rPr>
          <w:rFonts w:ascii="Times New Roman" w:cs="Times New Roman" w:eastAsia="黑体" w:hAnsi="Times New Roman"/>
          <w:b/>
          <w:bCs/>
          <w:sz w:val="30"/>
          <w:szCs w:val="30"/>
        </w:rPr>
        <w:t xml:space="preserve">2.4.1 技术风险</w:t>
      </w:r>
    </w:p>
    <w:p>
      <w:pPr>
        <w:spacing w:line="360" w:lineRule="auto"/>
        <w:ind w:firstLine="560"/>
        <w:jc w:val="left"/>
      </w:pPr>
      <w:r>
        <w:rPr>
          <w:rFonts w:ascii="Times New Roman" w:cs="Times New Roman" w:eastAsia="仿宋" w:hAnsi="Times New Roman"/>
          <w:sz w:val="28"/>
          <w:szCs w:val="28"/>
        </w:rPr>
        <w:t xml:space="preserve">技术风险主要来自大模型输出的不稳定性与知识抽取的准确性。大模型可能产生幻觉或输出格式不符合预期，影响知识抽取的质量与问答的准确性。</w:t>
      </w:r>
    </w:p>
    <w:p>
      <w:pPr>
        <w:spacing w:line="360" w:lineRule="auto"/>
        <w:ind w:firstLine="560"/>
        <w:jc w:val="left"/>
      </w:pPr>
      <w:r>
        <w:rPr>
          <w:rFonts w:ascii="Times New Roman" w:cs="Times New Roman" w:eastAsia="仿宋" w:hAnsi="Times New Roman"/>
          <w:sz w:val="28"/>
          <w:szCs w:val="28"/>
        </w:rPr>
        <w:t xml:space="preserve">对策：通过精心设计的提示词工程约束模型输出格式，加入输出校验与重试机制；采用 RAG 技术使回答基于课程知识库，降低幻觉风险；建立人工校对环节，教师可以对 AI 生成结果进行审核修正，确保最终发布的图谱内容准确可靠。</w:t>
      </w:r>
    </w:p>
    <w:p>
      <w:pPr>
        <w:spacing w:line="360" w:lineRule="auto"/>
        <w:jc w:val="left"/>
      </w:pPr>
      <w:r>
        <w:rPr>
          <w:rFonts w:ascii="Times New Roman" w:cs="Times New Roman" w:eastAsia="黑体" w:hAnsi="Times New Roman"/>
          <w:b/>
          <w:bCs/>
          <w:sz w:val="30"/>
          <w:szCs w:val="30"/>
        </w:rPr>
        <w:t xml:space="preserve">2.4.2 市场风险</w:t>
      </w:r>
    </w:p>
    <w:p>
      <w:pPr>
        <w:spacing w:line="360" w:lineRule="auto"/>
        <w:ind w:firstLine="560"/>
        <w:jc w:val="left"/>
      </w:pPr>
      <w:r>
        <w:rPr>
          <w:rFonts w:ascii="Times New Roman" w:cs="Times New Roman" w:eastAsia="仿宋" w:hAnsi="Times New Roman"/>
          <w:sz w:val="28"/>
          <w:szCs w:val="28"/>
        </w:rPr>
        <w:t xml:space="preserve">市场风险主要来自同类产品的竞争。随着 AIGC + 教育赛道的升温，可能出现更多的知识图谱或智能导学产品，导致市场竞争加剧。</w:t>
      </w:r>
    </w:p>
    <w:p>
      <w:pPr>
        <w:spacing w:line="360" w:lineRule="auto"/>
        <w:ind w:firstLine="560"/>
        <w:jc w:val="left"/>
      </w:pPr>
      <w:r>
        <w:rPr>
          <w:rFonts w:ascii="Times New Roman" w:cs="Times New Roman" w:eastAsia="仿宋" w:hAnsi="Times New Roman"/>
          <w:sz w:val="28"/>
          <w:szCs w:val="28"/>
        </w:rPr>
        <w:t xml:space="preserve">对策：深耕课程知识图谱这一垂直领域，打造差异化的产品优势——手绘风格的视觉设计、3D 校园的沉浸式体验、教师端与学生端的双角色完整闭环、AIGC 生成 + 文档抽取 + 人工校对的混合建图模式。通过持续的产品迭代与用户反馈收集，不断优化产品体验，提升核心竞争力。</w:t>
      </w:r>
    </w:p>
    <w:p>
      <w:pPr>
        <w:spacing w:line="360" w:lineRule="auto"/>
        <w:jc w:val="left"/>
      </w:pPr>
      <w:r>
        <w:rPr>
          <w:rFonts w:ascii="Times New Roman" w:cs="Times New Roman" w:eastAsia="黑体" w:hAnsi="Times New Roman"/>
          <w:b/>
          <w:bCs/>
          <w:sz w:val="30"/>
          <w:szCs w:val="30"/>
        </w:rPr>
        <w:t xml:space="preserve">2.4.3 成本风险</w:t>
      </w:r>
    </w:p>
    <w:p>
      <w:pPr>
        <w:spacing w:line="360" w:lineRule="auto"/>
        <w:ind w:firstLine="560"/>
        <w:jc w:val="left"/>
      </w:pPr>
      <w:r>
        <w:rPr>
          <w:rFonts w:ascii="Times New Roman" w:cs="Times New Roman" w:eastAsia="仿宋" w:hAnsi="Times New Roman"/>
          <w:sz w:val="28"/>
          <w:szCs w:val="28"/>
        </w:rPr>
        <w:t xml:space="preserve">成本风险主要来自大模型 API 的调用成本。随着用户量的增长，AI 调用费用可能成为主要的运营成本支出，如果成本控制不当，可能影响项目的可持续运营。</w:t>
      </w:r>
    </w:p>
    <w:p>
      <w:pPr>
        <w:spacing w:line="360" w:lineRule="auto"/>
        <w:ind w:firstLine="560"/>
        <w:jc w:val="left"/>
      </w:pPr>
      <w:r>
        <w:rPr>
          <w:rFonts w:ascii="Times New Roman" w:cs="Times New Roman" w:eastAsia="仿宋" w:hAnsi="Times New Roman"/>
          <w:sz w:val="28"/>
          <w:szCs w:val="28"/>
        </w:rPr>
        <w:t xml:space="preserve">对策：建立多级缓存机制（问答缓存、抽取结果缓存），减少重复的大模型调用；对于不同场景使用不同规格的模型，如批量知识抽取使用经济型模型，实时问答使用高性能模型；提供私有化部署方案，让学校可以接入自己的大模型服务，降低 SaaS 模式下的 API 成本压力。</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仿宋" w:hAnsi="Times New Roman"/>
        <w:sz w:val="18"/>
        <w:szCs w:val="18"/>
      </w:rPr>
      <w:t xml:space="preserve">第 </w:t>
    </w:r>
    <w:r>
      <w:rPr>
        <w:rFonts w:ascii="Times New Roman" w:cs="Times New Roman" w:eastAsia="仿宋" w:hAnsi="Times New Roman"/>
        <w:sz w:val="18"/>
        <w:szCs w:val="18"/>
      </w:rPr>
      <w:fldChar w:fldCharType="begin"/>
      <w:instrText xml:space="preserve">PAGE</w:instrText>
      <w:fldChar w:fldCharType="separate"/>
      <w:fldChar w:fldCharType="end"/>
    </w:r>
    <w:r>
      <w:rPr>
        <w:rFonts w:ascii="Times New Roman" w:cs="Times New Roman" w:eastAsia="仿宋" w:hAnsi="Times New Roman"/>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仿宋" w:cs="仿宋" w:eastAsia="仿宋" w:hAnsi="仿宋"/>
        <w:color w:val="666666"/>
        <w:sz w:val="24"/>
        <w:szCs w:val="24"/>
      </w:rPr>
      <w:t xml:space="preserve">智绘千里 · AIGC 知识图谱智能导学系统</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仿宋" w:hAnsi="Times New Roman"/>
        <w:sz w:val="28"/>
        <w:szCs w:val="28"/>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智绘千里</dc:title>
  <dc:creator>智绘千里</dc:creator>
  <cp:lastModifiedBy>Un-named</cp:lastModifiedBy>
  <cp:revision>1</cp:revision>
  <dcterms:created xsi:type="dcterms:W3CDTF">2026-10-05T18:34:17.848Z</dcterms:created>
  <dcterms:modified xsi:type="dcterms:W3CDTF">2026-10-05T18:34:17.848Z</dcterms:modified>
</cp:coreProperties>
</file>

<file path=docProps/custom.xml><?xml version="1.0" encoding="utf-8"?>
<Properties xmlns="http://schemas.openxmlformats.org/officeDocument/2006/custom-properties" xmlns:vt="http://schemas.openxmlformats.org/officeDocument/2006/docPropsVTypes"/>
</file>