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Rule="auto"/>
        <w:ind w:left="-708.6614173228347" w:right="-891.2598425196836"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Adidas E-commerce Analysis using SQL</w:t>
      </w:r>
    </w:p>
    <w:p w:rsidR="00000000" w:rsidDel="00000000" w:rsidP="00000000" w:rsidRDefault="00000000" w:rsidRPr="00000000" w14:paraId="00000002">
      <w:pPr>
        <w:widowControl w:val="0"/>
        <w:spacing w:after="240" w:before="240" w:lineRule="auto"/>
        <w:ind w:left="-708.6614173228347" w:right="-749.5275590551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Problem Statement:</w:t>
        <w:br w:type="textWrapping"/>
      </w:r>
      <w:r w:rsidDel="00000000" w:rsidR="00000000" w:rsidRPr="00000000">
        <w:rPr>
          <w:rFonts w:ascii="Times New Roman" w:cs="Times New Roman" w:eastAsia="Times New Roman" w:hAnsi="Times New Roman"/>
          <w:sz w:val="24"/>
          <w:szCs w:val="24"/>
          <w:rtl w:val="0"/>
        </w:rPr>
        <w:t xml:space="preserve">You are working as a data analyst at Adidas. Your task is to analyze retail sales performance across different product types, regions, and sales methods. Using the provided transactional data, your objective is to uncover trends in sales volume, profit margins, and product performance to support data-driven decisions in marketing and inventory management.</w:t>
      </w:r>
      <w:r w:rsidDel="00000000" w:rsidR="00000000" w:rsidRPr="00000000">
        <w:rPr>
          <w:rtl w:val="0"/>
        </w:rPr>
      </w:r>
    </w:p>
    <w:p w:rsidR="00000000" w:rsidDel="00000000" w:rsidP="00000000" w:rsidRDefault="00000000" w:rsidRPr="00000000" w14:paraId="00000003">
      <w:pPr>
        <w:spacing w:after="240" w:before="240" w:lineRule="auto"/>
        <w:ind w:left="-708.6614173228347" w:right="-749.527559055116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to be Performed:</w:t>
      </w:r>
    </w:p>
    <w:p w:rsidR="00000000" w:rsidDel="00000000" w:rsidP="00000000" w:rsidRDefault="00000000" w:rsidRPr="00000000" w14:paraId="00000004">
      <w:pPr>
        <w:numPr>
          <w:ilvl w:val="0"/>
          <w:numId w:val="2"/>
        </w:numPr>
        <w:spacing w:after="0" w:afterAutospacing="0" w:before="240" w:line="360" w:lineRule="auto"/>
        <w:ind w:right="-749.52755905511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preprocess the dataset using SQL functions to remove currency symbols, convert strings to numeric types, and standardize date formats.</w:t>
      </w:r>
    </w:p>
    <w:p w:rsidR="00000000" w:rsidDel="00000000" w:rsidP="00000000" w:rsidRDefault="00000000" w:rsidRPr="00000000" w14:paraId="00000005">
      <w:pPr>
        <w:numPr>
          <w:ilvl w:val="0"/>
          <w:numId w:val="2"/>
        </w:numPr>
        <w:spacing w:after="0" w:afterAutospacing="0" w:before="0" w:beforeAutospacing="0" w:line="360" w:lineRule="auto"/>
        <w:ind w:left="0" w:right="-749.52755905511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CTEs and window functions to analyze sales trends over time and rank top-performing products by revenue and profit.</w:t>
      </w:r>
    </w:p>
    <w:p w:rsidR="00000000" w:rsidDel="00000000" w:rsidP="00000000" w:rsidRDefault="00000000" w:rsidRPr="00000000" w14:paraId="00000006">
      <w:pPr>
        <w:numPr>
          <w:ilvl w:val="0"/>
          <w:numId w:val="2"/>
        </w:numPr>
        <w:spacing w:after="0" w:afterAutospacing="0" w:before="0" w:beforeAutospacing="0" w:line="360" w:lineRule="auto"/>
        <w:ind w:left="0" w:right="-749.52755905511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subqueries to calculate average unit price, total units sold, and profit margins across product categories and states.</w:t>
      </w:r>
    </w:p>
    <w:p w:rsidR="00000000" w:rsidDel="00000000" w:rsidP="00000000" w:rsidRDefault="00000000" w:rsidRPr="00000000" w14:paraId="00000007">
      <w:pPr>
        <w:numPr>
          <w:ilvl w:val="0"/>
          <w:numId w:val="2"/>
        </w:numPr>
        <w:spacing w:after="0" w:afterAutospacing="0" w:before="0" w:beforeAutospacing="0" w:line="360" w:lineRule="auto"/>
        <w:ind w:left="0" w:right="-749.52755905511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aggregation and grouping to compare total sales, units sold, and operating profit across cities and sales methods.</w:t>
      </w:r>
    </w:p>
    <w:p w:rsidR="00000000" w:rsidDel="00000000" w:rsidP="00000000" w:rsidRDefault="00000000" w:rsidRPr="00000000" w14:paraId="00000008">
      <w:pPr>
        <w:numPr>
          <w:ilvl w:val="0"/>
          <w:numId w:val="2"/>
        </w:numPr>
        <w:spacing w:after="240" w:before="0" w:beforeAutospacing="0" w:line="360" w:lineRule="auto"/>
        <w:ind w:left="0" w:right="-749.52755905511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filtering and joins (if other tables exist) to examine regional sales patterns and performance in different product lines.</w:t>
      </w:r>
    </w:p>
    <w:p w:rsidR="00000000" w:rsidDel="00000000" w:rsidP="00000000" w:rsidRDefault="00000000" w:rsidRPr="00000000" w14:paraId="00000009">
      <w:pPr>
        <w:spacing w:after="240" w:before="240" w:line="240" w:lineRule="auto"/>
        <w:ind w:left="-708.661417322834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w:t>
      </w:r>
    </w:p>
    <w:p w:rsidR="00000000" w:rsidDel="00000000" w:rsidP="00000000" w:rsidRDefault="00000000" w:rsidRPr="00000000" w14:paraId="0000000A">
      <w:pPr>
        <w:spacing w:after="240" w:before="240" w:lin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Dataset</w:t>
        </w:r>
      </w:hyperlink>
      <w:r w:rsidDel="00000000" w:rsidR="00000000" w:rsidRPr="00000000">
        <w:rPr>
          <w:rFonts w:ascii="Times New Roman" w:cs="Times New Roman" w:eastAsia="Times New Roman" w:hAnsi="Times New Roman"/>
          <w:sz w:val="24"/>
          <w:szCs w:val="24"/>
          <w:rtl w:val="0"/>
        </w:rPr>
        <w:t xml:space="preserve">]</w:t>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820"/>
        <w:tblGridChange w:id="0">
          <w:tblGrid>
            <w:gridCol w:w="3720"/>
            <w:gridCol w:w="58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retailer (e.g., Foot Locker)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 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the retailer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the transaction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region of the sale (e.g., Northeast)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where the transaction occurred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where the transaction occurred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product sold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per Unit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for a single unit of the product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Sold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product units sold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revenue generated from the sale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Profit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after subtracting operational costs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Margin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as a percentage of total sales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Method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240" w:before="240" w:line="360" w:lineRule="auto"/>
              <w:ind w:right="-749.527559055116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of sale (e.g., In-store, Outlet, Online)</w:t>
            </w:r>
          </w:p>
        </w:tc>
      </w:tr>
    </w:tbl>
    <w:p w:rsidR="00000000" w:rsidDel="00000000" w:rsidP="00000000" w:rsidRDefault="00000000" w:rsidRPr="00000000" w14:paraId="00000027">
      <w:pPr>
        <w:spacing w:after="240" w:before="240" w:line="180" w:lineRule="auto"/>
        <w:ind w:hanging="708.6614173228347"/>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240" w:before="240" w:line="180" w:lineRule="auto"/>
        <w:ind w:hanging="708.661417322834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Submission Guidelines:</w:t>
      </w:r>
    </w:p>
    <w:p w:rsidR="00000000" w:rsidDel="00000000" w:rsidP="00000000" w:rsidRDefault="00000000" w:rsidRPr="00000000" w14:paraId="00000029">
      <w:pPr>
        <w:numPr>
          <w:ilvl w:val="0"/>
          <w:numId w:val="1"/>
        </w:numPr>
        <w:spacing w:after="0" w:afterAutospacing="0" w:before="240" w:line="360" w:lineRule="auto"/>
        <w:ind w:left="141.73228346456688"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word document that contains all the findings with introduction and summary. </w:t>
      </w:r>
    </w:p>
    <w:p w:rsidR="00000000" w:rsidDel="00000000" w:rsidP="00000000" w:rsidRDefault="00000000" w:rsidRPr="00000000" w14:paraId="0000002A">
      <w:pPr>
        <w:numPr>
          <w:ilvl w:val="0"/>
          <w:numId w:val="1"/>
        </w:numPr>
        <w:spacing w:after="240" w:before="0" w:beforeAutospacing="0" w:line="360" w:lineRule="auto"/>
        <w:ind w:left="141.73228346456688"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code and the screenshot of the o/p with a few descriptions of the o/p in the document.</w:t>
      </w:r>
    </w:p>
    <w:p w:rsidR="00000000" w:rsidDel="00000000" w:rsidP="00000000" w:rsidRDefault="00000000" w:rsidRPr="00000000" w14:paraId="0000002B">
      <w:pPr>
        <w:spacing w:after="240" w:before="240" w:line="360" w:lineRule="auto"/>
        <w:ind w:right="-749.52755905511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ind w:right="-749.52755905511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ind w:left="720" w:right="-749.5275590551165"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akQCOxtOK62uS6RCIHF-f2dsc346SEp/edit?usp=sharing&amp;ouid=107726465846723228361&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