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t>Credit Review Memo</w:t>
      </w:r>
    </w:p>
    <w:p>
      <w:pPr>
        <w:spacing w:after="80"/>
      </w:pPr>
      <w:r>
        <w:rPr>
          <w:b/>
        </w:rPr>
        <w:t xml:space="preserve">Company: </w:t>
      </w:r>
      <w:r>
        <w:t xml:space="preserve">Sample (Pty) Ltd  </w:t>
      </w:r>
      <w:r>
        <w:rPr>
          <w:b/>
        </w:rPr>
        <w:t xml:space="preserve">Review period end: </w:t>
      </w:r>
      <w:r>
        <w:t xml:space="preserve">2025-06-29  </w:t>
      </w:r>
      <w:r>
        <w:rPr>
          <w:b/>
        </w:rPr>
        <w:t xml:space="preserve">Version: </w:t>
      </w:r>
      <w:r>
        <w:t>084180cb...</w:t>
      </w:r>
    </w:p>
    <w:p>
      <w:pPr>
        <w:spacing w:after="360"/>
      </w:pPr>
      <w:r>
        <w:rPr>
          <w:b/>
        </w:rPr>
        <w:t xml:space="preserve">Internal rating: </w:t>
      </w:r>
      <w:r>
        <w:t xml:space="preserve">BBB  </w:t>
      </w:r>
      <w:r>
        <w:rPr>
          <w:b/>
        </w:rPr>
        <w:t xml:space="preserve">Recommendation: </w:t>
      </w:r>
      <w:r>
        <w:t>Maintain</w:t>
      </w:r>
    </w:p>
    <w:p>
      <w:pPr>
        <w:pStyle w:val="Heading2"/>
        <w:spacing w:before="240"/>
      </w:pPr>
      <w:r>
        <w:t>Key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2025-06</w:t>
            </w:r>
          </w:p>
        </w:tc>
        <w:tc>
          <w:tcPr>
            <w:tcW w:type="dxa" w:w="1234"/>
          </w:tcPr>
          <w:p>
            <w:r>
              <w:t>2024-06</w:t>
            </w:r>
          </w:p>
        </w:tc>
        <w:tc>
          <w:tcPr>
            <w:tcW w:type="dxa" w:w="1234"/>
          </w:tcPr>
          <w:p>
            <w:r>
              <w:t>2023-06</w:t>
            </w:r>
          </w:p>
        </w:tc>
        <w:tc>
          <w:tcPr>
            <w:tcW w:type="dxa" w:w="1234"/>
          </w:tcPr>
          <w:p>
            <w:r>
              <w:t>2022-06</w:t>
            </w:r>
          </w:p>
        </w:tc>
        <w:tc>
          <w:tcPr>
            <w:tcW w:type="dxa" w:w="1234"/>
          </w:tcPr>
          <w:p>
            <w:r>
              <w:t>2021-06</w:t>
            </w:r>
          </w:p>
        </w:tc>
        <w:tc>
          <w:tcPr>
            <w:tcW w:type="dxa" w:w="1234"/>
          </w:tcPr>
          <w:p/>
        </w:tc>
      </w:tr>
      <w:tr>
        <w:tc>
          <w:tcPr>
            <w:tcW w:type="dxa" w:w="1234"/>
          </w:tcPr>
          <w:p>
            <w:r>
              <w:t>Revenue</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EBITDA</w:t>
            </w:r>
          </w:p>
        </w:tc>
        <w:tc>
          <w:tcPr>
            <w:tcW w:type="dxa" w:w="1234"/>
          </w:tcPr>
          <w:p>
            <w:r>
              <w:t>6,931.0</w:t>
            </w:r>
          </w:p>
        </w:tc>
        <w:tc>
          <w:tcPr>
            <w:tcW w:type="dxa" w:w="1234"/>
          </w:tcPr>
          <w:p>
            <w:r>
              <w:t>5,817.0</w:t>
            </w:r>
          </w:p>
        </w:tc>
        <w:tc>
          <w:tcPr>
            <w:tcW w:type="dxa" w:w="1234"/>
          </w:tcPr>
          <w:p>
            <w:r>
              <w:t>6,042.0</w:t>
            </w:r>
          </w:p>
        </w:tc>
        <w:tc>
          <w:tcPr>
            <w:tcW w:type="dxa" w:w="1234"/>
          </w:tcPr>
          <w:p>
            <w:r>
              <w:t>5,671.0</w:t>
            </w:r>
          </w:p>
        </w:tc>
        <w:tc>
          <w:tcPr>
            <w:tcW w:type="dxa" w:w="1234"/>
          </w:tcPr>
          <w:p>
            <w:r>
              <w:t>4,328.0</w:t>
            </w:r>
          </w:p>
        </w:tc>
        <w:tc>
          <w:tcPr>
            <w:tcW w:type="dxa" w:w="1234"/>
          </w:tcPr>
          <w:p/>
        </w:tc>
      </w:tr>
      <w:tr>
        <w:tc>
          <w:tcPr>
            <w:tcW w:type="dxa" w:w="1234"/>
          </w:tcPr>
          <w:p>
            <w:r>
              <w:t>EBITDA %</w:t>
            </w:r>
          </w:p>
        </w:tc>
        <w:tc>
          <w:tcPr>
            <w:tcW w:type="dxa" w:w="1234"/>
          </w:tcPr>
          <w:p>
            <w:r>
              <w:t>2.74</w:t>
            </w:r>
          </w:p>
        </w:tc>
        <w:tc>
          <w:tcPr>
            <w:tcW w:type="dxa" w:w="1234"/>
          </w:tcPr>
          <w:p>
            <w:r>
              <w:t>2.51</w:t>
            </w:r>
          </w:p>
        </w:tc>
        <w:tc>
          <w:tcPr>
            <w:tcW w:type="dxa" w:w="1234"/>
          </w:tcPr>
          <w:p>
            <w:r>
              <w:t>2.81</w:t>
            </w:r>
          </w:p>
        </w:tc>
        <w:tc>
          <w:tcPr>
            <w:tcW w:type="dxa" w:w="1234"/>
          </w:tcPr>
          <w:p>
            <w:r>
              <w:t>3.08</w:t>
            </w:r>
          </w:p>
        </w:tc>
        <w:tc>
          <w:tcPr>
            <w:tcW w:type="dxa" w:w="1234"/>
          </w:tcPr>
          <w:p>
            <w:r>
              <w:t>2.58</w:t>
            </w:r>
          </w:p>
        </w:tc>
        <w:tc>
          <w:tcPr>
            <w:tcW w:type="dxa" w:w="1234"/>
          </w:tcPr>
          <w:p/>
        </w:tc>
      </w:tr>
      <w:tr>
        <w:tc>
          <w:tcPr>
            <w:tcW w:type="dxa" w:w="1234"/>
          </w:tcPr>
          <w:p>
            <w:r>
              <w:t>ND/EBITDA</w:t>
            </w:r>
          </w:p>
        </w:tc>
        <w:tc>
          <w:tcPr>
            <w:tcW w:type="dxa" w:w="1234"/>
          </w:tcPr>
          <w:p>
            <w:r>
              <w:t>5.05</w:t>
            </w:r>
          </w:p>
        </w:tc>
        <w:tc>
          <w:tcPr>
            <w:tcW w:type="dxa" w:w="1234"/>
          </w:tcPr>
          <w:p>
            <w:r>
              <w:t>4.79</w:t>
            </w:r>
          </w:p>
        </w:tc>
        <w:tc>
          <w:tcPr>
            <w:tcW w:type="dxa" w:w="1234"/>
          </w:tcPr>
          <w:p>
            <w:r>
              <w:t>4.39</w:t>
            </w:r>
          </w:p>
        </w:tc>
        <w:tc>
          <w:tcPr>
            <w:tcW w:type="dxa" w:w="1234"/>
          </w:tcPr>
          <w:p>
            <w:r>
              <w:t>4.02</w:t>
            </w:r>
          </w:p>
        </w:tc>
        <w:tc>
          <w:tcPr>
            <w:tcW w:type="dxa" w:w="1234"/>
          </w:tcPr>
          <w:p>
            <w:r>
              <w:t>4.18</w:t>
            </w:r>
          </w:p>
        </w:tc>
        <w:tc>
          <w:tcPr>
            <w:tcW w:type="dxa" w:w="1234"/>
          </w:tcPr>
          <w:p/>
        </w:tc>
      </w:tr>
      <w:tr>
        <w:tc>
          <w:tcPr>
            <w:tcW w:type="dxa" w:w="1234"/>
          </w:tcPr>
          <w:p>
            <w:r>
              <w:t>ND/EBITDA (incl)</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Interest Cover</w:t>
            </w:r>
          </w:p>
        </w:tc>
        <w:tc>
          <w:tcPr>
            <w:tcW w:type="dxa" w:w="1234"/>
          </w:tcPr>
          <w:p>
            <w:r>
              <w:t>2.92</w:t>
            </w:r>
          </w:p>
        </w:tc>
        <w:tc>
          <w:tcPr>
            <w:tcW w:type="dxa" w:w="1234"/>
          </w:tcPr>
          <w:p>
            <w:r>
              <w:t>3.05</w:t>
            </w:r>
          </w:p>
        </w:tc>
        <w:tc>
          <w:tcPr>
            <w:tcW w:type="dxa" w:w="1234"/>
          </w:tcPr>
          <w:p>
            <w:r>
              <w:t>3.37</w:t>
            </w:r>
          </w:p>
        </w:tc>
        <w:tc>
          <w:tcPr>
            <w:tcW w:type="dxa" w:w="1234"/>
          </w:tcPr>
          <w:p>
            <w:r>
              <w:t>3.69</w:t>
            </w:r>
          </w:p>
        </w:tc>
        <w:tc>
          <w:tcPr>
            <w:tcW w:type="dxa" w:w="1234"/>
          </w:tcPr>
          <w:p>
            <w:r>
              <w:t>3.12</w:t>
            </w:r>
          </w:p>
        </w:tc>
        <w:tc>
          <w:tcPr>
            <w:tcW w:type="dxa" w:w="1234"/>
          </w:tcPr>
          <w:p/>
        </w:tc>
      </w:tr>
      <w:tr>
        <w:tc>
          <w:tcPr>
            <w:tcW w:type="dxa" w:w="1234"/>
          </w:tcPr>
          <w:p>
            <w:r>
              <w:t>Interest Cover</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Current Ratio</w:t>
            </w:r>
          </w:p>
        </w:tc>
        <w:tc>
          <w:tcPr>
            <w:tcW w:type="dxa" w:w="1234"/>
          </w:tcPr>
          <w:p>
            <w:r>
              <w:t>20.77</w:t>
            </w:r>
          </w:p>
        </w:tc>
        <w:tc>
          <w:tcPr>
            <w:tcW w:type="dxa" w:w="1234"/>
          </w:tcPr>
          <w:p>
            <w:r>
              <w:t>13.59</w:t>
            </w:r>
          </w:p>
        </w:tc>
        <w:tc>
          <w:tcPr>
            <w:tcW w:type="dxa" w:w="1234"/>
          </w:tcPr>
          <w:p>
            <w:r>
              <w:t>5.67</w:t>
            </w:r>
          </w:p>
        </w:tc>
        <w:tc>
          <w:tcPr>
            <w:tcW w:type="dxa" w:w="1234"/>
          </w:tcPr>
          <w:p>
            <w:r>
              <w:t>1.24</w:t>
            </w:r>
          </w:p>
        </w:tc>
        <w:tc>
          <w:tcPr>
            <w:tcW w:type="dxa" w:w="1234"/>
          </w:tcPr>
          <w:p>
            <w:r>
              <w:t>1.27</w:t>
            </w:r>
          </w:p>
        </w:tc>
        <w:tc>
          <w:tcPr>
            <w:tcW w:type="dxa" w:w="1234"/>
          </w:tcPr>
          <w:p/>
        </w:tc>
      </w:tr>
    </w:tbl>
    <w:p/>
    <w:p>
      <w:pPr>
        <w:pStyle w:val="Heading2"/>
        <w:spacing w:before="160"/>
      </w:pPr>
      <w:r>
        <w:t>3-Year Trend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Line</w:t>
            </w:r>
          </w:p>
        </w:tc>
        <w:tc>
          <w:tcPr>
            <w:tcW w:type="dxa" w:w="1234"/>
          </w:tcPr>
          <w:p>
            <w:r>
              <w:t>2025-06</w:t>
            </w:r>
          </w:p>
        </w:tc>
        <w:tc>
          <w:tcPr>
            <w:tcW w:type="dxa" w:w="1234"/>
          </w:tcPr>
          <w:p>
            <w:r>
              <w:t>2024-06</w:t>
            </w:r>
          </w:p>
        </w:tc>
        <w:tc>
          <w:tcPr>
            <w:tcW w:type="dxa" w:w="1234"/>
          </w:tcPr>
          <w:p>
            <w:r>
              <w:t>2023-06</w:t>
            </w:r>
          </w:p>
        </w:tc>
        <w:tc>
          <w:tcPr>
            <w:tcW w:type="dxa" w:w="1234"/>
          </w:tcPr>
          <w:p>
            <w:r>
              <w:t>2022-06</w:t>
            </w:r>
          </w:p>
        </w:tc>
        <w:tc>
          <w:tcPr>
            <w:tcW w:type="dxa" w:w="1234"/>
          </w:tcPr>
          <w:p>
            <w:r>
              <w:t>2021-06</w:t>
            </w:r>
          </w:p>
        </w:tc>
        <w:tc>
          <w:tcPr>
            <w:tcW w:type="dxa" w:w="1234"/>
          </w:tcPr>
          <w:p/>
        </w:tc>
      </w:tr>
      <w:tr>
        <w:tc>
          <w:tcPr>
            <w:tcW w:type="dxa" w:w="1234"/>
          </w:tcPr>
          <w:p>
            <w:r>
              <w:t>Revenue</w:t>
            </w:r>
          </w:p>
        </w:tc>
        <w:tc>
          <w:tcPr>
            <w:tcW w:type="dxa" w:w="1234"/>
          </w:tcPr>
          <w:p>
            <w:r>
              <w:t>252,701</w:t>
            </w:r>
          </w:p>
        </w:tc>
        <w:tc>
          <w:tcPr>
            <w:tcW w:type="dxa" w:w="1234"/>
          </w:tcPr>
          <w:p>
            <w:r>
              <w:t>232,088</w:t>
            </w:r>
          </w:p>
        </w:tc>
        <w:tc>
          <w:tcPr>
            <w:tcW w:type="dxa" w:w="1234"/>
          </w:tcPr>
          <w:p>
            <w:r>
              <w:t>214,956</w:t>
            </w:r>
          </w:p>
        </w:tc>
        <w:tc>
          <w:tcPr>
            <w:tcW w:type="dxa" w:w="1234"/>
          </w:tcPr>
          <w:p>
            <w:r>
              <w:t>183,868</w:t>
            </w:r>
          </w:p>
        </w:tc>
        <w:tc>
          <w:tcPr>
            <w:tcW w:type="dxa" w:w="1234"/>
          </w:tcPr>
          <w:p>
            <w:r>
              <w:t>168,030</w:t>
            </w:r>
          </w:p>
        </w:tc>
        <w:tc>
          <w:tcPr>
            <w:tcW w:type="dxa" w:w="1234"/>
          </w:tcPr>
          <w:p/>
        </w:tc>
      </w:tr>
      <w:tr>
        <w:tc>
          <w:tcPr>
            <w:tcW w:type="dxa" w:w="1234"/>
          </w:tcPr>
          <w:p>
            <w:r>
              <w:t>EBITDA</w:t>
            </w:r>
          </w:p>
        </w:tc>
        <w:tc>
          <w:tcPr>
            <w:tcW w:type="dxa" w:w="1234"/>
          </w:tcPr>
          <w:p>
            <w:r>
              <w:t>6,931</w:t>
            </w:r>
          </w:p>
        </w:tc>
        <w:tc>
          <w:tcPr>
            <w:tcW w:type="dxa" w:w="1234"/>
          </w:tcPr>
          <w:p>
            <w:r>
              <w:t>5,817</w:t>
            </w:r>
          </w:p>
        </w:tc>
        <w:tc>
          <w:tcPr>
            <w:tcW w:type="dxa" w:w="1234"/>
          </w:tcPr>
          <w:p>
            <w:r>
              <w:t>6,042</w:t>
            </w:r>
          </w:p>
        </w:tc>
        <w:tc>
          <w:tcPr>
            <w:tcW w:type="dxa" w:w="1234"/>
          </w:tcPr>
          <w:p>
            <w:r>
              <w:t>5,671</w:t>
            </w:r>
          </w:p>
        </w:tc>
        <w:tc>
          <w:tcPr>
            <w:tcW w:type="dxa" w:w="1234"/>
          </w:tcPr>
          <w:p>
            <w:r>
              <w:t>4,328</w:t>
            </w:r>
          </w:p>
        </w:tc>
        <w:tc>
          <w:tcPr>
            <w:tcW w:type="dxa" w:w="1234"/>
          </w:tcPr>
          <w:p/>
        </w:tc>
      </w:tr>
      <w:tr>
        <w:tc>
          <w:tcPr>
            <w:tcW w:type="dxa" w:w="1234"/>
          </w:tcPr>
          <w:p>
            <w:r>
              <w:t>ND/EBITDA</w:t>
            </w:r>
          </w:p>
        </w:tc>
        <w:tc>
          <w:tcPr>
            <w:tcW w:type="dxa" w:w="1234"/>
          </w:tcPr>
          <w:p>
            <w:r>
              <w:t>5.05</w:t>
            </w:r>
          </w:p>
        </w:tc>
        <w:tc>
          <w:tcPr>
            <w:tcW w:type="dxa" w:w="1234"/>
          </w:tcPr>
          <w:p>
            <w:r>
              <w:t>4.79</w:t>
            </w:r>
          </w:p>
        </w:tc>
        <w:tc>
          <w:tcPr>
            <w:tcW w:type="dxa" w:w="1234"/>
          </w:tcPr>
          <w:p>
            <w:r>
              <w:t>4.39</w:t>
            </w:r>
          </w:p>
        </w:tc>
        <w:tc>
          <w:tcPr>
            <w:tcW w:type="dxa" w:w="1234"/>
          </w:tcPr>
          <w:p>
            <w:r>
              <w:t>4.02</w:t>
            </w:r>
          </w:p>
        </w:tc>
        <w:tc>
          <w:tcPr>
            <w:tcW w:type="dxa" w:w="1234"/>
          </w:tcPr>
          <w:p>
            <w:r>
              <w:t>4.18</w:t>
            </w:r>
          </w:p>
        </w:tc>
        <w:tc>
          <w:tcPr>
            <w:tcW w:type="dxa" w:w="1234"/>
          </w:tcPr>
          <w:p/>
        </w:tc>
      </w:tr>
    </w:tbl>
    <w:p/>
    <w:p>
      <w:pPr>
        <w:pStyle w:val="Heading1"/>
        <w:spacing w:before="320" w:after="160"/>
      </w:pPr>
      <w:r>
        <w:t>Executive Summary</w:t>
      </w:r>
    </w:p>
    <w:p>
      <w:pPr>
        <w:spacing w:after="160" w:line="276" w:lineRule="auto"/>
      </w:pPr>
      <w:r>
        <w:t>Sample (Pty) Ltd's credit profile is currently rated at BBB, with a recommendation of caution due to several financial and operational challenges. The company's business risk is assessed as adequate, supported by a diversified revenue base and a 8.9% year-over-year revenue growth (Note 26: Revenue). However, financial performance and liquidity are weak, with a liquidity coverage ratio of 0.21x and a net debt to EBITDA ratio of 5.05x, indicating high leverage (Note 21: Borrowings). Stress testing reveals significant vulnerabilities, particularly under scenarios of revenue decline and margin compression. Covenant breaches are present, necessitating close monitoring and early engagement with lenders. Senior reviewer attention is required for covenant breaches and liquidity management strategies.</w:t>
      </w:r>
    </w:p>
    <w:p>
      <w:pPr>
        <w:pStyle w:val="Heading1"/>
        <w:spacing w:before="320" w:after="160"/>
      </w:pPr>
      <w:r>
        <w:t>Transaction Overview</w:t>
      </w:r>
    </w:p>
    <w:p>
      <w:pPr>
        <w:spacing w:after="160" w:line="276" w:lineRule="auto"/>
      </w:pPr>
      <w:r>
        <w:t>Transaction details to be completed by deal team.</w:t>
      </w:r>
    </w:p>
    <w:p>
      <w:pPr>
        <w:pStyle w:val="Heading1"/>
        <w:spacing w:before="320" w:after="160"/>
      </w:pPr>
      <w:r>
        <w:t>Business Risk Assessment</w:t>
      </w:r>
    </w:p>
    <w:p>
      <w:pPr>
        <w:spacing w:after="160" w:line="276" w:lineRule="auto"/>
      </w:pPr>
      <w:r>
        <w:t>Sample (Pty) Ltd operates across 10 segments, providing a diversified business model that mitigates some operational risks (Note 2: Operating segments). The company has achieved a revenue of 252,701.00 with a growth rate of 8.9% year-over-year, indicating a strong market position. However, the EBITDA margin remains low at 2.7%, suggesting limited pricing power and operational efficiency (Note 26: Revenue). The business risk is rated as adequate, but the company must address margin pressures to enhance profitability.</w:t>
      </w:r>
    </w:p>
    <w:p>
      <w:pPr>
        <w:pStyle w:val="Heading1"/>
        <w:spacing w:before="320" w:after="160"/>
      </w:pPr>
      <w:r>
        <w:t>Industry Overview</w:t>
      </w:r>
    </w:p>
    <w:p>
      <w:pPr>
        <w:spacing w:after="160" w:line="276" w:lineRule="auto"/>
      </w:pPr>
      <w:r>
        <w:t>Company operates across 10 business segments.</w:t>
      </w:r>
    </w:p>
    <w:p>
      <w:pPr>
        <w:pStyle w:val="Heading1"/>
        <w:spacing w:before="320" w:after="160"/>
      </w:pPr>
      <w:r>
        <w:t>Competitive Position</w:t>
      </w:r>
    </w:p>
    <w:p>
      <w:pPr>
        <w:spacing w:after="160" w:line="276" w:lineRule="auto"/>
      </w:pPr>
      <w:r>
        <w:t>EBITDA margin of 2.7%. Revenue growth 8.9% YoY indicates market positioning.</w:t>
      </w:r>
    </w:p>
    <w:p>
      <w:pPr>
        <w:pStyle w:val="Heading1"/>
        <w:spacing w:before="320" w:after="160"/>
      </w:pPr>
      <w:r>
        <w:t>Financial Performance</w:t>
      </w:r>
    </w:p>
    <w:p>
      <w:pPr>
        <w:spacing w:after="160" w:line="276" w:lineRule="auto"/>
      </w:pPr>
      <w:r>
        <w:t>The financial performance of Sample (Pty) Ltd is rated as adequate, with a revenue growth of 8.9% and an EBITDA growth of 19.2% (Note 27: Depreciation). The EBITDA margin is 2.7%, reflecting operational challenges. Cash flow from operations to EBITDA is strong at 1.58x, indicating effective cash conversion. However, the free cash flow conversion is low at 2.5, which may impact debt servicing capacity (Note 30: Operating expenses). The company must focus on improving operational efficiency to sustain financial performance.</w:t>
      </w:r>
    </w:p>
    <w:p>
      <w:pPr>
        <w:pStyle w:val="Heading1"/>
        <w:spacing w:before="320" w:after="160"/>
      </w:pPr>
      <w:r>
        <w:t>Financial Risk</w:t>
      </w:r>
    </w:p>
    <w:p>
      <w:pPr>
        <w:spacing w:after="160" w:line="276" w:lineRule="auto"/>
      </w:pPr>
      <w:r>
        <w:t>Sample (Pty) Ltd faces significant financial risks, primarily due to high leverage and weak liquidity. The net debt to EBITDA ratio is 5.05x, exceeding typical investment-grade thresholds (Note 21: Borrowings). Interest coverage is low at 1.34x, indicating potential difficulties in meeting interest obligations. The financial risk profile is constrained by these factors, necessitating strategic financial management to mitigate risks.</w:t>
      </w:r>
    </w:p>
    <w:p>
      <w:pPr>
        <w:pStyle w:val="Heading1"/>
        <w:spacing w:before="320" w:after="160"/>
      </w:pPr>
      <w:r>
        <w:t>Cash Flow &amp; Liquidity</w:t>
      </w:r>
    </w:p>
    <w:p>
      <w:pPr>
        <w:spacing w:after="160" w:line="276" w:lineRule="auto"/>
      </w:pPr>
      <w:r>
        <w:t>The liquidity position of Sample (Pty) Ltd is critical, with a liquidity coverage ratio of 0.21x and a liquidity surplus of -77,275.02 over the next 12 months (Note 38: Cash flows). The current ratio is below 1.0x, indicating that short-term liabilities exceed liquid assets. The company relies heavily on operating cash flow and undrawn facilities to meet short-term obligations. Senior reviewer attention is required to address liquidity management and explore potential refinancing options.</w:t>
      </w:r>
    </w:p>
    <w:p>
      <w:pPr>
        <w:pStyle w:val="Heading1"/>
        <w:spacing w:before="320" w:after="160"/>
      </w:pPr>
      <w:r>
        <w:t>Balance Sheet &amp; Leverage</w:t>
      </w:r>
    </w:p>
    <w:p>
      <w:pPr>
        <w:spacing w:after="160" w:line="276" w:lineRule="auto"/>
      </w:pPr>
      <w:r>
        <w:t>Sample (Pty) Ltd's leverage is high, with a net debt to EBITDA ratio of 5.05x, including leases (Note 21: Borrowings). The debt to capital ratio is 0.8568, reflecting a capital structure heavily reliant on debt. Interest coverage is weak at 1.34x, raising concerns about the company's ability to service its debt. The leverage profile is a significant constraint on the credit rating, and strategies to reduce debt levels should be prioritized.</w:t>
      </w:r>
    </w:p>
    <w:p>
      <w:pPr>
        <w:pStyle w:val="Heading1"/>
        <w:spacing w:before="320" w:after="160"/>
      </w:pPr>
      <w:r>
        <w:t>Stress Testing Results</w:t>
      </w:r>
    </w:p>
    <w:p>
      <w:pPr>
        <w:spacing w:after="160" w:line="276" w:lineRule="auto"/>
      </w:pPr>
      <w:r>
        <w:t>Stress testing indicates that Sample (Pty) Ltd is vulnerable to adverse scenarios. Under a 10% revenue decline, the net debt to EBITDA ratio increases to 5.62x, and interest coverage falls to 2.63x. Margin compression further exacerbates financial strain, with interest coverage dropping below 2x (Note 43: Risk management). The company's resilience to stress is weak, and governance caps may apply, affecting the credit rating. Senior reviewer attention is needed to assess the impact of stress scenarios on financial stability.</w:t>
      </w:r>
    </w:p>
    <w:p>
      <w:pPr>
        <w:pStyle w:val="Heading1"/>
        <w:spacing w:before="320" w:after="160"/>
      </w:pPr>
      <w:r>
        <w:t>Accounting &amp; Disclosure Quality</w:t>
      </w:r>
    </w:p>
    <w:p>
      <w:pPr>
        <w:spacing w:after="160" w:line="276" w:lineRule="auto"/>
      </w:pPr>
      <w:r>
        <w:t>The accounting and disclosure quality of Sample (Pty) Ltd is rated as weak, with concerns over impairment sensitivity and going concern uncertainty (Note 1: Significant judgement). While financial statements comply with IFRS, the disclosure of key risk areas is limited. The weak accounting quality impacts the overall credit assessment, and improvements in transparency and disclosure are recommended.</w:t>
      </w:r>
    </w:p>
    <w:p>
      <w:pPr>
        <w:pStyle w:val="Heading1"/>
        <w:spacing w:before="320" w:after="160"/>
      </w:pPr>
      <w:r>
        <w:t>Key Notes (Accounting)</w:t>
      </w:r>
    </w:p>
    <w:p>
      <w:pPr>
        <w:spacing w:after="160" w:line="276" w:lineRule="auto"/>
      </w:pPr>
      <w:r>
        <w:t>Key accounting notes include Note 1 on significant judgement, Note 8 on impairment, and Note 43 on financial instruments. These notes highlight areas of concern, such as impairment sensitivity and going concern uncertainty, which require further scrutiny. Senior reviewer attention is advised to ensure that accounting practices align with best practices and provide sufficient transparency.</w:t>
      </w:r>
    </w:p>
    <w:p>
      <w:pPr>
        <w:pStyle w:val="Heading1"/>
        <w:spacing w:before="320" w:after="160"/>
      </w:pPr>
      <w:r>
        <w:t>Key Risks</w:t>
      </w:r>
    </w:p>
    <w:p>
      <w:pPr>
        <w:spacing w:after="160" w:line="276" w:lineRule="auto"/>
      </w:pPr>
      <w:r>
        <w:t>Key risks for Sample (Pty) Ltd include high leverage, weak liquidity, and covenant breaches. The net debt to EBITDA ratio of 5.05x and interest coverage of 1.34x are critical concerns (Note 21: Borrowings). Liquidity coverage is below 1.0x, indicating potential cash flow challenges (Note 38: Cash flows). Covenant breaches related to leverage and interest coverage require immediate attention and engagement with lenders to mitigate risks.</w:t>
      </w:r>
    </w:p>
    <w:p>
      <w:pPr>
        <w:pStyle w:val="Heading1"/>
        <w:spacing w:before="320" w:after="160"/>
      </w:pPr>
      <w:r>
        <w:t>Covenants &amp; Headroom</w:t>
      </w:r>
    </w:p>
    <w:p>
      <w:pPr>
        <w:spacing w:after="160" w:line="276" w:lineRule="auto"/>
      </w:pPr>
      <w:r>
        <w:t>Sample (Pty) Ltd is currently in breach of its covenants, with a net debt to EBITDA ratio exceeding the maximum allowed of 2.75x and interest coverage below the minimum of 3.5x (Note 43.4.3: Covenant terms). The leverage headroom is -83.6%, and coverage headroom is -61.7%, indicating significant constraints. These breaches trigger governance caps and require senior reviewer intervention to address potential lender actions and explore covenant waivers or amendments.</w:t>
      </w:r>
    </w:p>
    <w:p>
      <w:pPr>
        <w:pStyle w:val="Heading1"/>
        <w:spacing w:before="320" w:after="160"/>
      </w:pPr>
      <w:r>
        <w:t>Security &amp; Collateral</w:t>
      </w:r>
    </w:p>
    <w:p>
      <w:pPr>
        <w:spacing w:after="160" w:line="276" w:lineRule="auto"/>
      </w:pPr>
      <w:r>
        <w:t>Security and collateral details to be documented.</w:t>
      </w:r>
    </w:p>
    <w:p>
      <w:pPr>
        <w:pStyle w:val="Heading1"/>
        <w:spacing w:before="320" w:after="160"/>
      </w:pPr>
      <w:r>
        <w:t>Internal Rating Rationale</w:t>
      </w:r>
    </w:p>
    <w:p>
      <w:pPr>
        <w:spacing w:after="160" w:line="276" w:lineRule="auto"/>
      </w:pPr>
      <w:r>
        <w:t>The internal rating of BBB for Sample (Pty) Ltd reflects a balance between adequate business risk and weak financial metrics. The company's diversified revenue base supports the rating, but high leverage and liquidity challenges constrain it. Covenant breaches and stress testing results further impact the rating, necessitating a cautious approach. The rating is subject to governance caps due to covenant breaches, and senior reviewer attention is required to evaluate potential rating adjustments.</w:t>
      </w:r>
    </w:p>
    <w:p>
      <w:pPr>
        <w:pStyle w:val="Heading1"/>
        <w:spacing w:before="320" w:after="160"/>
      </w:pPr>
      <w:r>
        <w:t>Credit Risk Quantification (PD/LGD/EAD/ECL)</w:t>
      </w:r>
    </w:p>
    <w:p>
      <w:pPr>
        <w:spacing w:after="160" w:line="276" w:lineRule="auto"/>
      </w:pPr>
      <w:r>
        <w:t>The aggregate credit score for Sample (Pty) Ltd is 48.1, with a base grade of B and a hard cap grade of B due to governance rules. The business risk score is 64.2, while financial performance and liquidity scores are 62.2 and 40.0, respectively. Leverage and accounting quality are rated weak, with scores of 22.5 and 40.0. The quantification highlights the need for strategic improvements in financial management to enhance the credit profile.</w:t>
      </w:r>
    </w:p>
    <w:p>
      <w:pPr>
        <w:pStyle w:val="Heading1"/>
        <w:spacing w:before="320" w:after="160"/>
      </w:pPr>
      <w:r>
        <w:t>Recommendation &amp; Conditions</w:t>
      </w:r>
    </w:p>
    <w:p>
      <w:pPr>
        <w:spacing w:after="160" w:line="276" w:lineRule="auto"/>
      </w:pPr>
      <w:r>
        <w:t>The recommendation for Sample (Pty) Ltd is caution, with conditions including close monitoring of covenant breaches and quarterly leverage assessments. Early engagement with lenders is advised to address covenant breaches and explore potential waivers or amendments. The company should focus on improving liquidity and reducing leverage to align with investment-grade metrics.</w:t>
      </w:r>
    </w:p>
    <w:p>
      <w:pPr>
        <w:pStyle w:val="Heading1"/>
        <w:spacing w:before="320" w:after="160"/>
      </w:pPr>
      <w:r>
        <w:t>Monitoring Plan</w:t>
      </w:r>
    </w:p>
    <w:p>
      <w:pPr>
        <w:spacing w:after="160" w:line="276" w:lineRule="auto"/>
      </w:pPr>
      <w:r>
        <w:t>The monitoring plan for Sample (Pty) Ltd includes quarterly reviews of financial performance, leverage, and liquidity metrics. Covenant compliance should be assessed regularly, with early engagement with lenders in case of potential breaches. Stress testing should be conducted periodically to evaluate resilience to adverse scenarios. Senior reviewer oversight is recommended to ensure timely identification and mitigation of emerging risks.</w:t>
      </w:r>
    </w:p>
    <w:p>
      <w:pPr>
        <w:pStyle w:val="Heading1"/>
        <w:spacing w:before="320" w:after="160"/>
      </w:pPr>
      <w:r>
        <w:t>Appendices</w:t>
      </w:r>
    </w:p>
    <w:p>
      <w:pPr>
        <w:spacing w:after="160" w:line="276" w:lineRule="auto"/>
      </w:pPr>
      <w:r>
        <w:t>Supporting schedules and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