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left"/>
      </w:pPr>
      <w:r>
        <w:t>Credit Review Memo</w:t>
      </w:r>
    </w:p>
    <w:p>
      <w:pPr>
        <w:spacing w:after="80"/>
      </w:pPr>
      <w:r>
        <w:rPr>
          <w:b/>
        </w:rPr>
        <w:t xml:space="preserve">Company: </w:t>
      </w:r>
      <w:r>
        <w:t xml:space="preserve">Sample (Pty) Ltd  </w:t>
      </w:r>
      <w:r>
        <w:rPr>
          <w:b/>
        </w:rPr>
        <w:t xml:space="preserve">Review period end: </w:t>
      </w:r>
      <w:r>
        <w:t xml:space="preserve">2025-06-29  </w:t>
      </w:r>
      <w:r>
        <w:rPr>
          <w:b/>
        </w:rPr>
        <w:t xml:space="preserve">Version: </w:t>
      </w:r>
      <w:r>
        <w:t>934cf94f...</w:t>
      </w:r>
    </w:p>
    <w:p>
      <w:pPr>
        <w:spacing w:after="360"/>
      </w:pPr>
      <w:r>
        <w:rPr>
          <w:b/>
        </w:rPr>
        <w:t xml:space="preserve">Internal rating: </w:t>
      </w:r>
      <w:r>
        <w:t xml:space="preserve">BBB  </w:t>
      </w:r>
      <w:r>
        <w:rPr>
          <w:b/>
        </w:rPr>
        <w:t xml:space="preserve">Recommendation: </w:t>
      </w:r>
      <w:r>
        <w:t>Maintain</w:t>
      </w:r>
    </w:p>
    <w:p>
      <w:pPr>
        <w:pStyle w:val="Heading2"/>
        <w:spacing w:before="240"/>
      </w:pPr>
      <w:r>
        <w:t>Key Metrics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Metric</w:t>
            </w:r>
          </w:p>
        </w:tc>
        <w:tc>
          <w:tcPr>
            <w:tcW w:type="dxa" w:w="1234"/>
          </w:tcPr>
          <w:p>
            <w:r>
              <w:t>2025-06</w:t>
            </w:r>
          </w:p>
        </w:tc>
        <w:tc>
          <w:tcPr>
            <w:tcW w:type="dxa" w:w="1234"/>
          </w:tcPr>
          <w:p>
            <w:r>
              <w:t>2024-06</w:t>
            </w:r>
          </w:p>
        </w:tc>
        <w:tc>
          <w:tcPr>
            <w:tcW w:type="dxa" w:w="1234"/>
          </w:tcPr>
          <w:p>
            <w:r>
              <w:t>2023-06</w:t>
            </w:r>
          </w:p>
        </w:tc>
        <w:tc>
          <w:tcPr>
            <w:tcW w:type="dxa" w:w="1234"/>
          </w:tcPr>
          <w:p>
            <w:r>
              <w:t>2022-06</w:t>
            </w:r>
          </w:p>
        </w:tc>
        <w:tc>
          <w:tcPr>
            <w:tcW w:type="dxa" w:w="1234"/>
          </w:tcPr>
          <w:p>
            <w:r>
              <w:t>2021-06</w:t>
            </w:r>
          </w:p>
        </w:tc>
        <w:tc>
          <w:tcPr>
            <w:tcW w:type="dxa" w:w="1234"/>
          </w:tcPr>
          <w:p/>
        </w:tc>
      </w:tr>
      <w:tr>
        <w:tc>
          <w:tcPr>
            <w:tcW w:type="dxa" w:w="1234"/>
          </w:tcPr>
          <w:p>
            <w:r>
              <w:t>Revenue</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t>EBITDA</w:t>
            </w:r>
          </w:p>
        </w:tc>
        <w:tc>
          <w:tcPr>
            <w:tcW w:type="dxa" w:w="1234"/>
          </w:tcPr>
          <w:p>
            <w:r>
              <w:t>6,931.0</w:t>
            </w:r>
          </w:p>
        </w:tc>
        <w:tc>
          <w:tcPr>
            <w:tcW w:type="dxa" w:w="1234"/>
          </w:tcPr>
          <w:p>
            <w:r>
              <w:t>5,817.0</w:t>
            </w:r>
          </w:p>
        </w:tc>
        <w:tc>
          <w:tcPr>
            <w:tcW w:type="dxa" w:w="1234"/>
          </w:tcPr>
          <w:p>
            <w:r>
              <w:t>6,042.0</w:t>
            </w:r>
          </w:p>
        </w:tc>
        <w:tc>
          <w:tcPr>
            <w:tcW w:type="dxa" w:w="1234"/>
          </w:tcPr>
          <w:p>
            <w:r>
              <w:t>5,671.0</w:t>
            </w:r>
          </w:p>
        </w:tc>
        <w:tc>
          <w:tcPr>
            <w:tcW w:type="dxa" w:w="1234"/>
          </w:tcPr>
          <w:p>
            <w:r>
              <w:t>4,328.0</w:t>
            </w:r>
          </w:p>
        </w:tc>
        <w:tc>
          <w:tcPr>
            <w:tcW w:type="dxa" w:w="1234"/>
          </w:tcPr>
          <w:p/>
        </w:tc>
      </w:tr>
      <w:tr>
        <w:tc>
          <w:tcPr>
            <w:tcW w:type="dxa" w:w="1234"/>
          </w:tcPr>
          <w:p>
            <w:r>
              <w:t>EBITDA %</w:t>
            </w:r>
          </w:p>
        </w:tc>
        <w:tc>
          <w:tcPr>
            <w:tcW w:type="dxa" w:w="1234"/>
          </w:tcPr>
          <w:p>
            <w:r>
              <w:t>2.74</w:t>
            </w:r>
          </w:p>
        </w:tc>
        <w:tc>
          <w:tcPr>
            <w:tcW w:type="dxa" w:w="1234"/>
          </w:tcPr>
          <w:p>
            <w:r>
              <w:t>2.51</w:t>
            </w:r>
          </w:p>
        </w:tc>
        <w:tc>
          <w:tcPr>
            <w:tcW w:type="dxa" w:w="1234"/>
          </w:tcPr>
          <w:p>
            <w:r>
              <w:t>2.81</w:t>
            </w:r>
          </w:p>
        </w:tc>
        <w:tc>
          <w:tcPr>
            <w:tcW w:type="dxa" w:w="1234"/>
          </w:tcPr>
          <w:p>
            <w:r>
              <w:t>3.08</w:t>
            </w:r>
          </w:p>
        </w:tc>
        <w:tc>
          <w:tcPr>
            <w:tcW w:type="dxa" w:w="1234"/>
          </w:tcPr>
          <w:p>
            <w:r>
              <w:t>2.58</w:t>
            </w:r>
          </w:p>
        </w:tc>
        <w:tc>
          <w:tcPr>
            <w:tcW w:type="dxa" w:w="1234"/>
          </w:tcPr>
          <w:p/>
        </w:tc>
      </w:tr>
      <w:tr>
        <w:tc>
          <w:tcPr>
            <w:tcW w:type="dxa" w:w="1234"/>
          </w:tcPr>
          <w:p>
            <w:r>
              <w:t>ND/EBITDA</w:t>
            </w:r>
          </w:p>
        </w:tc>
        <w:tc>
          <w:tcPr>
            <w:tcW w:type="dxa" w:w="1234"/>
          </w:tcPr>
          <w:p>
            <w:r>
              <w:t>5.05</w:t>
            </w:r>
          </w:p>
        </w:tc>
        <w:tc>
          <w:tcPr>
            <w:tcW w:type="dxa" w:w="1234"/>
          </w:tcPr>
          <w:p>
            <w:r>
              <w:t>4.79</w:t>
            </w:r>
          </w:p>
        </w:tc>
        <w:tc>
          <w:tcPr>
            <w:tcW w:type="dxa" w:w="1234"/>
          </w:tcPr>
          <w:p>
            <w:r>
              <w:t>4.39</w:t>
            </w:r>
          </w:p>
        </w:tc>
        <w:tc>
          <w:tcPr>
            <w:tcW w:type="dxa" w:w="1234"/>
          </w:tcPr>
          <w:p>
            <w:r>
              <w:t>4.02</w:t>
            </w:r>
          </w:p>
        </w:tc>
        <w:tc>
          <w:tcPr>
            <w:tcW w:type="dxa" w:w="1234"/>
          </w:tcPr>
          <w:p>
            <w:r>
              <w:t>4.18</w:t>
            </w:r>
          </w:p>
        </w:tc>
        <w:tc>
          <w:tcPr>
            <w:tcW w:type="dxa" w:w="1234"/>
          </w:tcPr>
          <w:p/>
        </w:tc>
      </w:tr>
      <w:tr>
        <w:tc>
          <w:tcPr>
            <w:tcW w:type="dxa" w:w="1234"/>
          </w:tcPr>
          <w:p>
            <w:r>
              <w:t>ND/EBITDA (incl)</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t>Interest Cover</w:t>
            </w:r>
          </w:p>
        </w:tc>
        <w:tc>
          <w:tcPr>
            <w:tcW w:type="dxa" w:w="1234"/>
          </w:tcPr>
          <w:p>
            <w:r>
              <w:t>2.92</w:t>
            </w:r>
          </w:p>
        </w:tc>
        <w:tc>
          <w:tcPr>
            <w:tcW w:type="dxa" w:w="1234"/>
          </w:tcPr>
          <w:p>
            <w:r>
              <w:t>3.05</w:t>
            </w:r>
          </w:p>
        </w:tc>
        <w:tc>
          <w:tcPr>
            <w:tcW w:type="dxa" w:w="1234"/>
          </w:tcPr>
          <w:p>
            <w:r>
              <w:t>3.37</w:t>
            </w:r>
          </w:p>
        </w:tc>
        <w:tc>
          <w:tcPr>
            <w:tcW w:type="dxa" w:w="1234"/>
          </w:tcPr>
          <w:p>
            <w:r>
              <w:t>3.69</w:t>
            </w:r>
          </w:p>
        </w:tc>
        <w:tc>
          <w:tcPr>
            <w:tcW w:type="dxa" w:w="1234"/>
          </w:tcPr>
          <w:p>
            <w:r>
              <w:t>3.12</w:t>
            </w:r>
          </w:p>
        </w:tc>
        <w:tc>
          <w:tcPr>
            <w:tcW w:type="dxa" w:w="1234"/>
          </w:tcPr>
          <w:p/>
        </w:tc>
      </w:tr>
      <w:tr>
        <w:tc>
          <w:tcPr>
            <w:tcW w:type="dxa" w:w="1234"/>
          </w:tcPr>
          <w:p>
            <w:r>
              <w:t>Interest Cover</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t>Current Ratio</w:t>
            </w:r>
          </w:p>
        </w:tc>
        <w:tc>
          <w:tcPr>
            <w:tcW w:type="dxa" w:w="1234"/>
          </w:tcPr>
          <w:p>
            <w:r>
              <w:t>20.77</w:t>
            </w:r>
          </w:p>
        </w:tc>
        <w:tc>
          <w:tcPr>
            <w:tcW w:type="dxa" w:w="1234"/>
          </w:tcPr>
          <w:p>
            <w:r>
              <w:t>13.59</w:t>
            </w:r>
          </w:p>
        </w:tc>
        <w:tc>
          <w:tcPr>
            <w:tcW w:type="dxa" w:w="1234"/>
          </w:tcPr>
          <w:p>
            <w:r>
              <w:t>5.67</w:t>
            </w:r>
          </w:p>
        </w:tc>
        <w:tc>
          <w:tcPr>
            <w:tcW w:type="dxa" w:w="1234"/>
          </w:tcPr>
          <w:p>
            <w:r>
              <w:t>1.24</w:t>
            </w:r>
          </w:p>
        </w:tc>
        <w:tc>
          <w:tcPr>
            <w:tcW w:type="dxa" w:w="1234"/>
          </w:tcPr>
          <w:p>
            <w:r>
              <w:t>1.27</w:t>
            </w:r>
          </w:p>
        </w:tc>
        <w:tc>
          <w:tcPr>
            <w:tcW w:type="dxa" w:w="1234"/>
          </w:tcPr>
          <w:p/>
        </w:tc>
      </w:tr>
    </w:tbl>
    <w:p/>
    <w:p>
      <w:pPr>
        <w:pStyle w:val="Heading2"/>
        <w:spacing w:before="160"/>
      </w:pPr>
      <w:r>
        <w:t>3-Year Trend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Line</w:t>
            </w:r>
          </w:p>
        </w:tc>
        <w:tc>
          <w:tcPr>
            <w:tcW w:type="dxa" w:w="1234"/>
          </w:tcPr>
          <w:p>
            <w:r>
              <w:t>2025-06</w:t>
            </w:r>
          </w:p>
        </w:tc>
        <w:tc>
          <w:tcPr>
            <w:tcW w:type="dxa" w:w="1234"/>
          </w:tcPr>
          <w:p>
            <w:r>
              <w:t>2024-06</w:t>
            </w:r>
          </w:p>
        </w:tc>
        <w:tc>
          <w:tcPr>
            <w:tcW w:type="dxa" w:w="1234"/>
          </w:tcPr>
          <w:p>
            <w:r>
              <w:t>2023-06</w:t>
            </w:r>
          </w:p>
        </w:tc>
        <w:tc>
          <w:tcPr>
            <w:tcW w:type="dxa" w:w="1234"/>
          </w:tcPr>
          <w:p>
            <w:r>
              <w:t>2022-06</w:t>
            </w:r>
          </w:p>
        </w:tc>
        <w:tc>
          <w:tcPr>
            <w:tcW w:type="dxa" w:w="1234"/>
          </w:tcPr>
          <w:p>
            <w:r>
              <w:t>2021-06</w:t>
            </w:r>
          </w:p>
        </w:tc>
        <w:tc>
          <w:tcPr>
            <w:tcW w:type="dxa" w:w="1234"/>
          </w:tcPr>
          <w:p/>
        </w:tc>
      </w:tr>
      <w:tr>
        <w:tc>
          <w:tcPr>
            <w:tcW w:type="dxa" w:w="1234"/>
          </w:tcPr>
          <w:p>
            <w:r>
              <w:t>Revenue</w:t>
            </w:r>
          </w:p>
        </w:tc>
        <w:tc>
          <w:tcPr>
            <w:tcW w:type="dxa" w:w="1234"/>
          </w:tcPr>
          <w:p>
            <w:r>
              <w:t>252,701</w:t>
            </w:r>
          </w:p>
        </w:tc>
        <w:tc>
          <w:tcPr>
            <w:tcW w:type="dxa" w:w="1234"/>
          </w:tcPr>
          <w:p>
            <w:r>
              <w:t>232,088</w:t>
            </w:r>
          </w:p>
        </w:tc>
        <w:tc>
          <w:tcPr>
            <w:tcW w:type="dxa" w:w="1234"/>
          </w:tcPr>
          <w:p>
            <w:r>
              <w:t>214,956</w:t>
            </w:r>
          </w:p>
        </w:tc>
        <w:tc>
          <w:tcPr>
            <w:tcW w:type="dxa" w:w="1234"/>
          </w:tcPr>
          <w:p>
            <w:r>
              <w:t>183,868</w:t>
            </w:r>
          </w:p>
        </w:tc>
        <w:tc>
          <w:tcPr>
            <w:tcW w:type="dxa" w:w="1234"/>
          </w:tcPr>
          <w:p>
            <w:r>
              <w:t>168,030</w:t>
            </w:r>
          </w:p>
        </w:tc>
        <w:tc>
          <w:tcPr>
            <w:tcW w:type="dxa" w:w="1234"/>
          </w:tcPr>
          <w:p/>
        </w:tc>
      </w:tr>
      <w:tr>
        <w:tc>
          <w:tcPr>
            <w:tcW w:type="dxa" w:w="1234"/>
          </w:tcPr>
          <w:p>
            <w:r>
              <w:t>EBITDA</w:t>
            </w:r>
          </w:p>
        </w:tc>
        <w:tc>
          <w:tcPr>
            <w:tcW w:type="dxa" w:w="1234"/>
          </w:tcPr>
          <w:p>
            <w:r>
              <w:t>6,931</w:t>
            </w:r>
          </w:p>
        </w:tc>
        <w:tc>
          <w:tcPr>
            <w:tcW w:type="dxa" w:w="1234"/>
          </w:tcPr>
          <w:p>
            <w:r>
              <w:t>5,817</w:t>
            </w:r>
          </w:p>
        </w:tc>
        <w:tc>
          <w:tcPr>
            <w:tcW w:type="dxa" w:w="1234"/>
          </w:tcPr>
          <w:p>
            <w:r>
              <w:t>6,042</w:t>
            </w:r>
          </w:p>
        </w:tc>
        <w:tc>
          <w:tcPr>
            <w:tcW w:type="dxa" w:w="1234"/>
          </w:tcPr>
          <w:p>
            <w:r>
              <w:t>5,671</w:t>
            </w:r>
          </w:p>
        </w:tc>
        <w:tc>
          <w:tcPr>
            <w:tcW w:type="dxa" w:w="1234"/>
          </w:tcPr>
          <w:p>
            <w:r>
              <w:t>4,328</w:t>
            </w:r>
          </w:p>
        </w:tc>
        <w:tc>
          <w:tcPr>
            <w:tcW w:type="dxa" w:w="1234"/>
          </w:tcPr>
          <w:p/>
        </w:tc>
      </w:tr>
      <w:tr>
        <w:tc>
          <w:tcPr>
            <w:tcW w:type="dxa" w:w="1234"/>
          </w:tcPr>
          <w:p>
            <w:r>
              <w:t>ND/EBITDA</w:t>
            </w:r>
          </w:p>
        </w:tc>
        <w:tc>
          <w:tcPr>
            <w:tcW w:type="dxa" w:w="1234"/>
          </w:tcPr>
          <w:p>
            <w:r>
              <w:t>5.05</w:t>
            </w:r>
          </w:p>
        </w:tc>
        <w:tc>
          <w:tcPr>
            <w:tcW w:type="dxa" w:w="1234"/>
          </w:tcPr>
          <w:p>
            <w:r>
              <w:t>4.79</w:t>
            </w:r>
          </w:p>
        </w:tc>
        <w:tc>
          <w:tcPr>
            <w:tcW w:type="dxa" w:w="1234"/>
          </w:tcPr>
          <w:p>
            <w:r>
              <w:t>4.39</w:t>
            </w:r>
          </w:p>
        </w:tc>
        <w:tc>
          <w:tcPr>
            <w:tcW w:type="dxa" w:w="1234"/>
          </w:tcPr>
          <w:p>
            <w:r>
              <w:t>4.02</w:t>
            </w:r>
          </w:p>
        </w:tc>
        <w:tc>
          <w:tcPr>
            <w:tcW w:type="dxa" w:w="1234"/>
          </w:tcPr>
          <w:p>
            <w:r>
              <w:t>4.18</w:t>
            </w:r>
          </w:p>
        </w:tc>
        <w:tc>
          <w:tcPr>
            <w:tcW w:type="dxa" w:w="1234"/>
          </w:tcPr>
          <w:p/>
        </w:tc>
      </w:tr>
    </w:tbl>
    <w:p/>
    <w:p>
      <w:pPr>
        <w:pStyle w:val="Heading1"/>
        <w:spacing w:before="320" w:after="160"/>
      </w:pPr>
      <w:r>
        <w:t>Executive Summary</w:t>
      </w:r>
    </w:p>
    <w:p>
      <w:pPr>
        <w:spacing w:after="160" w:line="276" w:lineRule="auto"/>
      </w:pPr>
      <w:r>
        <w:t>Sample (Pty) Ltd's credit profile is currently rated at BBB, with a recommendation of caution due to several financial and operational challenges. The company's business risk is assessed as adequate, supported by a diversified revenue base and a moderate growth trajectory. However, financial performance, liquidity, and leverage metrics present significant concerns. The company's liquidity position is particularly weak, with a liquidity coverage ratio of 0.21x, indicating critical short-term financial stress (Note 38: Cash flows, p. 44). Leverage is elevated with a net debt to EBITDA ratio of 5.05x, exceeding covenant limits and posing a risk of breach (Note 21: Borrowings, p. 58-60). Stress testing further highlights vulnerabilities under adverse scenarios. Senior review is required to address covenant breaches and potential lender negotiations.</w:t>
      </w:r>
    </w:p>
    <w:p>
      <w:pPr>
        <w:pStyle w:val="Heading1"/>
        <w:spacing w:before="320" w:after="160"/>
      </w:pPr>
      <w:r>
        <w:t>Transaction Overview</w:t>
      </w:r>
    </w:p>
    <w:p>
      <w:pPr>
        <w:spacing w:after="160" w:line="276" w:lineRule="auto"/>
      </w:pPr>
      <w:r>
        <w:t>Transaction details to be completed by deal team.</w:t>
      </w:r>
    </w:p>
    <w:p>
      <w:pPr>
        <w:pStyle w:val="Heading1"/>
        <w:spacing w:before="320" w:after="160"/>
      </w:pPr>
      <w:r>
        <w:t>Business Risk Assessment</w:t>
      </w:r>
    </w:p>
    <w:p>
      <w:pPr>
        <w:spacing w:after="160" w:line="276" w:lineRule="auto"/>
      </w:pPr>
      <w:r>
        <w:t>Sample (Pty) Ltd operates across 10 segments, contributing to a diversified revenue stream of 252,701.00, which grew by 8.9% year-over-year (Note 2: Operating segments, p. 26). The company's business risk is rated as adequate, benefiting from its scale and market position. However, the EBITDA margin remains low at 2.7%, indicating limited pricing power and operational efficiency (Note 26: Revenue, p. 26). The company's ability to sustain growth amidst competitive pressures and economic fluctuations remains a key consideration.</w:t>
      </w:r>
    </w:p>
    <w:p>
      <w:pPr>
        <w:pStyle w:val="Heading1"/>
        <w:spacing w:before="320" w:after="160"/>
      </w:pPr>
      <w:r>
        <w:t>Industry Overview</w:t>
      </w:r>
    </w:p>
    <w:p>
      <w:pPr>
        <w:spacing w:after="160" w:line="276" w:lineRule="auto"/>
      </w:pPr>
      <w:r>
        <w:t>Company operates across 10 business segments.</w:t>
      </w:r>
    </w:p>
    <w:p>
      <w:pPr>
        <w:pStyle w:val="Heading1"/>
        <w:spacing w:before="320" w:after="160"/>
      </w:pPr>
      <w:r>
        <w:t>Competitive Position</w:t>
      </w:r>
    </w:p>
    <w:p>
      <w:pPr>
        <w:spacing w:after="160" w:line="276" w:lineRule="auto"/>
      </w:pPr>
      <w:r>
        <w:t>EBITDA margin of 2.7%. Revenue growth 8.9% YoY indicates market positioning.</w:t>
      </w:r>
    </w:p>
    <w:p>
      <w:pPr>
        <w:pStyle w:val="Heading1"/>
        <w:spacing w:before="320" w:after="160"/>
      </w:pPr>
      <w:r>
        <w:t>Financial Performance</w:t>
      </w:r>
    </w:p>
    <w:p>
      <w:pPr>
        <w:spacing w:after="160" w:line="276" w:lineRule="auto"/>
      </w:pPr>
      <w:r>
        <w:t>The financial performance of Sample (Pty) Ltd is rated as adequate, with revenue growth of 8.9% and EBITDA growth of 19.2% over the review period. The EBITDA margin stands at 2.7%, reflecting operational challenges (Note 30: Operating expenses, p. 39-40). Cash flow from operations to EBITDA is strong at 1.58x, indicating effective cash conversion (Note 27: Depreciation, p. 39). However, the company's profitability is constrained by high finance costs and tax expenses, impacting net income growth (Note 34: Tax, p. 40).</w:t>
      </w:r>
    </w:p>
    <w:p>
      <w:pPr>
        <w:pStyle w:val="Heading1"/>
        <w:spacing w:before="320" w:after="160"/>
      </w:pPr>
      <w:r>
        <w:t>Financial Risk</w:t>
      </w:r>
    </w:p>
    <w:p>
      <w:pPr>
        <w:spacing w:after="160" w:line="276" w:lineRule="auto"/>
      </w:pPr>
      <w:r>
        <w:t>Sample (Pty) Ltd faces significant financial risks, primarily due to its weak liquidity and high leverage. The liquidity coverage ratio is critically low at 0.21x, with a liquidity surplus of -77,275.02 over the next 12 months (Note 38: Cash flows, p. 44). Leverage is elevated, with net debt to EBITDA at 5.05x, exceeding covenant limits and indicating potential breach risks (Note 21: Borrowings, p. 58-60). Interest coverage is also below optimal levels at 1.34x, raising concerns about the company's ability to service debt (Note 33: Finance costs, p. 39-40).</w:t>
      </w:r>
    </w:p>
    <w:p>
      <w:pPr>
        <w:pStyle w:val="Heading1"/>
        <w:spacing w:before="320" w:after="160"/>
      </w:pPr>
      <w:r>
        <w:t>Cash Flow &amp; Liquidity</w:t>
      </w:r>
    </w:p>
    <w:p>
      <w:pPr>
        <w:spacing w:after="160" w:line="276" w:lineRule="auto"/>
      </w:pPr>
      <w:r>
        <w:t>The liquidity position of Sample (Pty) Ltd is weak, with a current ratio of 0.89 and a quick ratio of 0.23, indicating insufficient liquid assets to cover short-term liabilities (Note 38: Cash flows, p. 44). The company's cash balance of 9,946.00 is significantly lower than its short-term debt obligations of 44,979.00, resulting in a high short-term debt to cash ratio of 4.52 (Note 21: Borrowings, p. 58-60). The liquidity coverage ratio of 0.21x highlights the critical need for additional liquidity sources or refinancing to meet upcoming obligations.</w:t>
      </w:r>
    </w:p>
    <w:p>
      <w:pPr>
        <w:pStyle w:val="Heading1"/>
        <w:spacing w:before="320" w:after="160"/>
      </w:pPr>
      <w:r>
        <w:t>Balance Sheet &amp; Leverage</w:t>
      </w:r>
    </w:p>
    <w:p>
      <w:pPr>
        <w:spacing w:after="160" w:line="276" w:lineRule="auto"/>
      </w:pPr>
      <w:r>
        <w:t>Sample (Pty) Ltd's leverage profile is concerning, with a net debt to EBITDA ratio of 5.05x, indicating high financial leverage (Note 21: Borrowings, p. 58-60). The debt to capital ratio is 0.8568, reflecting a capital structure heavily reliant on debt financing. Interest coverage is weak at 1.34x, suggesting limited capacity to absorb interest expenses (Note 33: Finance costs, p. 39-40). The company's leverage exceeds covenant thresholds, necessitating immediate attention to avoid potential breaches.</w:t>
      </w:r>
    </w:p>
    <w:p>
      <w:pPr>
        <w:pStyle w:val="Heading1"/>
        <w:spacing w:before="320" w:after="160"/>
      </w:pPr>
      <w:r>
        <w:t>Stress Testing Results</w:t>
      </w:r>
    </w:p>
    <w:p>
      <w:pPr>
        <w:spacing w:after="160" w:line="276" w:lineRule="auto"/>
      </w:pPr>
      <w:r>
        <w:t>Stress testing reveals significant vulnerabilities for Sample (Pty) Ltd. Under a 10% revenue decline scenario, net debt to EBITDA increases to 5.62x, and interest coverage falls to 2.63x, indicating heightened financial stress. A working capital shock results in negative cash balances, further exacerbating liquidity challenges. Margin compression scenarios show interest coverage dropping below 2x, highlighting the company's sensitivity to operational disruptions. These stress results underscore the need for strategic financial management to mitigate downside risks.</w:t>
      </w:r>
    </w:p>
    <w:p>
      <w:pPr>
        <w:pStyle w:val="Heading1"/>
        <w:spacing w:before="320" w:after="160"/>
      </w:pPr>
      <w:r>
        <w:t>Accounting &amp; Disclosure Quality</w:t>
      </w:r>
    </w:p>
    <w:p>
      <w:pPr>
        <w:spacing w:after="160" w:line="276" w:lineRule="auto"/>
      </w:pPr>
      <w:r>
        <w:t>The accounting and disclosure quality of Sample (Pty) Ltd is rated as weak, with several risk flags identified, including impairment sensitivity and going concern uncertainties (Note 1: Significant judgement, p. 64). While financial statements adhere to IFRS standards, the disclosure of key risk areas such as impairment and deferred tax requires improvement to enhance transparency and investor confidence (Note 8: Impairment, p. 64).</w:t>
      </w:r>
    </w:p>
    <w:p>
      <w:pPr>
        <w:pStyle w:val="Heading1"/>
        <w:spacing w:before="320" w:after="160"/>
      </w:pPr>
      <w:r>
        <w:t>Key Notes (Accounting)</w:t>
      </w:r>
    </w:p>
    <w:p>
      <w:pPr>
        <w:spacing w:after="160" w:line="276" w:lineRule="auto"/>
      </w:pPr>
      <w:r>
        <w:t>Key accounting notes for Sample (Pty) Ltd include Note 1 on significant judgement, Note 8 on impairment, and Note 14 on deferred tax (p. 64). These notes highlight areas of potential financial impact and require careful consideration in the context of the company's overall financial health. The disclosure of impairment sensitivity and going concern uncertainties are particularly noteworthy and warrant further analysis.</w:t>
      </w:r>
    </w:p>
    <w:p>
      <w:pPr>
        <w:pStyle w:val="Heading1"/>
        <w:spacing w:before="320" w:after="160"/>
      </w:pPr>
      <w:r>
        <w:t>Key Risks</w:t>
      </w:r>
    </w:p>
    <w:p>
      <w:pPr>
        <w:spacing w:after="160" w:line="276" w:lineRule="auto"/>
      </w:pPr>
      <w:r>
        <w:t>Key risks for Sample (Pty) Ltd include high financial leverage, weak liquidity, and covenant breaches. The company's net debt to EBITDA ratio of 5.05x and liquidity coverage ratio of 0.21x are critical concerns (Note 21: Borrowings, p. 58-60; Note 38: Cash flows, p. 44). Covenant breaches related to leverage and interest coverage further exacerbate these risks, necessitating proactive management and potential lender negotiations (Note 43.4.3: Covenant terms, p. 65).</w:t>
      </w:r>
    </w:p>
    <w:p>
      <w:pPr>
        <w:pStyle w:val="Heading1"/>
        <w:spacing w:before="320" w:after="160"/>
      </w:pPr>
      <w:r>
        <w:t>Covenants &amp; Headroom</w:t>
      </w:r>
    </w:p>
    <w:p>
      <w:pPr>
        <w:spacing w:after="160" w:line="276" w:lineRule="auto"/>
      </w:pPr>
      <w:r>
        <w:t>Sample (Pty) Ltd is currently in breach of its financial covenants, with leverage and interest coverage ratios exceeding set limits. The leverage covenant is set at a maximum of 2.75x, while the current net debt to EBITDA is 5.05x, indicating a significant breach (Note 43.4.3: Covenant terms, p. 65). Interest coverage is also below the minimum requirement of 3.5x, with current coverage at 1.34x. These breaches require immediate attention and engagement with lenders to explore potential remedies or waivers.</w:t>
      </w:r>
    </w:p>
    <w:p>
      <w:pPr>
        <w:pStyle w:val="Heading1"/>
        <w:spacing w:before="320" w:after="160"/>
      </w:pPr>
      <w:r>
        <w:t>Security &amp; Collateral</w:t>
      </w:r>
    </w:p>
    <w:p>
      <w:pPr>
        <w:spacing w:after="160" w:line="276" w:lineRule="auto"/>
      </w:pPr>
      <w:r>
        <w:t>Security and collateral details to be documented.</w:t>
      </w:r>
    </w:p>
    <w:p>
      <w:pPr>
        <w:pStyle w:val="Heading1"/>
        <w:spacing w:before="320" w:after="160"/>
      </w:pPr>
      <w:r>
        <w:t>Internal Rating Rationale</w:t>
      </w:r>
    </w:p>
    <w:p>
      <w:pPr>
        <w:spacing w:after="160" w:line="276" w:lineRule="auto"/>
      </w:pPr>
      <w:r>
        <w:t>The internal rating of Sample (Pty) Ltd at BBB reflects a balance between adequate business risk and significant financial challenges. The company's diversified revenue base and moderate growth support its business risk profile. However, weak liquidity, high leverage, and covenant breaches constrain the rating. The governance rules impose a hard cap on the rating due to stress breaches, further emphasizing the need for financial restructuring and strategic management.</w:t>
      </w:r>
    </w:p>
    <w:p>
      <w:pPr>
        <w:pStyle w:val="Heading1"/>
        <w:spacing w:before="320" w:after="160"/>
      </w:pPr>
      <w:r>
        <w:t>Credit Risk Quantification (PD/LGD/EAD/ECL)</w:t>
      </w:r>
    </w:p>
    <w:p>
      <w:pPr>
        <w:spacing w:after="160" w:line="276" w:lineRule="auto"/>
      </w:pPr>
      <w:r>
        <w:t>Sample (Pty) Ltd's credit risk is quantified by an aggregate score of 48.1, with a base grade of B and a hard cap grade of B due to governance rules. The business risk score of 64.2 is offset by weak financial performance, liquidity, and leverage scores. The company's financial metrics, including a net debt to EBITDA ratio of 5.05x and a liquidity coverage ratio of 0.21x, highlight significant credit risk, necessitating close monitoring and potential corrective actions.</w:t>
      </w:r>
    </w:p>
    <w:p>
      <w:pPr>
        <w:pStyle w:val="Heading1"/>
        <w:spacing w:before="320" w:after="160"/>
      </w:pPr>
      <w:r>
        <w:t>Recommendation &amp; Conditions</w:t>
      </w:r>
    </w:p>
    <w:p>
      <w:pPr>
        <w:pStyle w:val="ListBullet"/>
        <w:spacing w:after="40"/>
      </w:pPr>
      <w:r>
        <w:t>The recommendation for Sample (Pty) Ltd is to proceed with caution, subject to specific conditions:</w:t>
      </w:r>
    </w:p>
    <w:p>
      <w:pPr>
        <w:pStyle w:val="ListBullet"/>
        <w:spacing w:after="40"/>
      </w:pPr>
      <w:r>
        <w:t>Monitor covenant breaches closely and engage early with lenders to explore potential remedies or waivers.</w:t>
      </w:r>
    </w:p>
    <w:p>
      <w:pPr>
        <w:pStyle w:val="ListBullet"/>
        <w:spacing w:after="160"/>
      </w:pPr>
      <w:r>
        <w:t>Monitor leverage (net debt to EBITDA) quarterly, ensuring it remains within acceptable limits to avoid further covenant breaches and rating downgrades.</w:t>
      </w:r>
    </w:p>
    <w:p>
      <w:pPr>
        <w:pStyle w:val="Heading1"/>
        <w:spacing w:before="320" w:after="160"/>
      </w:pPr>
      <w:r>
        <w:t>Monitoring Plan</w:t>
      </w:r>
    </w:p>
    <w:p>
      <w:pPr>
        <w:pStyle w:val="ListBullet"/>
        <w:spacing w:after="40"/>
      </w:pPr>
      <w:r>
        <w:t>The monitoring plan for Sample (Pty) Ltd includes:</w:t>
      </w:r>
    </w:p>
    <w:p>
      <w:pPr>
        <w:pStyle w:val="ListBullet"/>
        <w:spacing w:after="40"/>
      </w:pPr>
      <w:r>
        <w:t>Quarterly reviews of financial performance, focusing on liquidity and leverage metrics.</w:t>
      </w:r>
    </w:p>
    <w:p>
      <w:pPr>
        <w:pStyle w:val="ListBullet"/>
        <w:spacing w:after="40"/>
      </w:pPr>
      <w:r>
        <w:t>Regular engagement with lenders to address covenant breaches and explore potential waivers or amendments.</w:t>
      </w:r>
    </w:p>
    <w:p>
      <w:pPr>
        <w:pStyle w:val="ListBullet"/>
        <w:spacing w:after="40"/>
      </w:pPr>
      <w:r>
        <w:t>Continuous assessment of stress testing results to identify emerging risks and develop mitigation strategies.</w:t>
      </w:r>
    </w:p>
    <w:p>
      <w:pPr>
        <w:pStyle w:val="ListBullet"/>
        <w:spacing w:after="160"/>
      </w:pPr>
      <w:r>
        <w:t>Ongoing evaluation of accounting disclosures to ensure transparency and compliance with IFRS standards.</w:t>
      </w:r>
    </w:p>
    <w:p>
      <w:pPr>
        <w:pStyle w:val="Heading1"/>
        <w:spacing w:before="320" w:after="160"/>
      </w:pPr>
      <w:r>
        <w:t>Appendices</w:t>
      </w:r>
    </w:p>
    <w:p>
      <w:pPr>
        <w:spacing w:after="160" w:line="276" w:lineRule="auto"/>
      </w:pPr>
      <w:r>
        <w:t>Supporting schedules and exhibits.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