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  <w:jc w:val="left"/>
      </w:pPr>
      <w:r>
        <w:t>Credit Review Memo</w:t>
      </w:r>
    </w:p>
    <w:p>
      <w:pPr>
        <w:spacing w:after="80"/>
      </w:pPr>
      <w:r>
        <w:rPr>
          <w:b/>
        </w:rPr>
        <w:t xml:space="preserve">Company: </w:t>
      </w:r>
      <w:r>
        <w:t xml:space="preserve">Sample (Pty) Ltd  </w:t>
      </w:r>
      <w:r>
        <w:rPr>
          <w:b/>
        </w:rPr>
        <w:t xml:space="preserve">Review period end: </w:t>
      </w:r>
      <w:r>
        <w:t xml:space="preserve">2025-06-29  </w:t>
      </w:r>
      <w:r>
        <w:rPr>
          <w:b/>
        </w:rPr>
        <w:t xml:space="preserve">Version: </w:t>
      </w:r>
      <w:r>
        <w:t>0aca3bd4...</w:t>
      </w:r>
    </w:p>
    <w:p>
      <w:pPr>
        <w:spacing w:after="360"/>
      </w:pPr>
      <w:r>
        <w:rPr>
          <w:b/>
        </w:rPr>
        <w:t xml:space="preserve">Internal rating: </w:t>
      </w:r>
      <w:r>
        <w:t xml:space="preserve">BBB  </w:t>
      </w:r>
      <w:r>
        <w:rPr>
          <w:b/>
        </w:rPr>
        <w:t xml:space="preserve">Recommendation: </w:t>
      </w:r>
      <w:r>
        <w:t>Maintain</w:t>
      </w:r>
    </w:p>
    <w:p>
      <w:pPr>
        <w:pStyle w:val="Heading2"/>
        <w:spacing w:before="240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2025-06</w:t>
            </w:r>
          </w:p>
        </w:tc>
        <w:tc>
          <w:tcPr>
            <w:tcW w:type="dxa" w:w="1728"/>
          </w:tcPr>
          <w:p>
            <w:r>
              <w:t>2024-06</w:t>
            </w:r>
          </w:p>
        </w:tc>
        <w:tc>
          <w:tcPr>
            <w:tcW w:type="dxa" w:w="1728"/>
          </w:tcPr>
          <w:p>
            <w:r>
              <w:t>2023-06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Revenue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EBITDA</w:t>
            </w:r>
          </w:p>
        </w:tc>
        <w:tc>
          <w:tcPr>
            <w:tcW w:type="dxa" w:w="1728"/>
          </w:tcPr>
          <w:p>
            <w:r>
              <w:t>6,931.0</w:t>
            </w:r>
          </w:p>
        </w:tc>
        <w:tc>
          <w:tcPr>
            <w:tcW w:type="dxa" w:w="1728"/>
          </w:tcPr>
          <w:p>
            <w:r>
              <w:t>5,817.0</w:t>
            </w:r>
          </w:p>
        </w:tc>
        <w:tc>
          <w:tcPr>
            <w:tcW w:type="dxa" w:w="1728"/>
          </w:tcPr>
          <w:p>
            <w:r>
              <w:t>6,042.0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EBITDA %</w:t>
            </w:r>
          </w:p>
        </w:tc>
        <w:tc>
          <w:tcPr>
            <w:tcW w:type="dxa" w:w="1728"/>
          </w:tcPr>
          <w:p>
            <w:r>
              <w:t>2.74</w:t>
            </w:r>
          </w:p>
        </w:tc>
        <w:tc>
          <w:tcPr>
            <w:tcW w:type="dxa" w:w="1728"/>
          </w:tcPr>
          <w:p>
            <w:r>
              <w:t>2.51</w:t>
            </w:r>
          </w:p>
        </w:tc>
        <w:tc>
          <w:tcPr>
            <w:tcW w:type="dxa" w:w="1728"/>
          </w:tcPr>
          <w:p>
            <w:r>
              <w:t>2.81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ND/EBITDA</w:t>
            </w:r>
          </w:p>
        </w:tc>
        <w:tc>
          <w:tcPr>
            <w:tcW w:type="dxa" w:w="1728"/>
          </w:tcPr>
          <w:p>
            <w:r>
              <w:t>5.05</w:t>
            </w:r>
          </w:p>
        </w:tc>
        <w:tc>
          <w:tcPr>
            <w:tcW w:type="dxa" w:w="1728"/>
          </w:tcPr>
          <w:p>
            <w:r>
              <w:t>4.79</w:t>
            </w:r>
          </w:p>
        </w:tc>
        <w:tc>
          <w:tcPr>
            <w:tcW w:type="dxa" w:w="1728"/>
          </w:tcPr>
          <w:p>
            <w:r>
              <w:t>4.39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ND/EBITDA (incl)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Interest Cover</w:t>
            </w:r>
          </w:p>
        </w:tc>
        <w:tc>
          <w:tcPr>
            <w:tcW w:type="dxa" w:w="1728"/>
          </w:tcPr>
          <w:p>
            <w:r>
              <w:t>2.92</w:t>
            </w:r>
          </w:p>
        </w:tc>
        <w:tc>
          <w:tcPr>
            <w:tcW w:type="dxa" w:w="1728"/>
          </w:tcPr>
          <w:p>
            <w:r>
              <w:t>3.05</w:t>
            </w:r>
          </w:p>
        </w:tc>
        <w:tc>
          <w:tcPr>
            <w:tcW w:type="dxa" w:w="1728"/>
          </w:tcPr>
          <w:p>
            <w:r>
              <w:t>3.37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Interest Cover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Current Ratio</w:t>
            </w:r>
          </w:p>
        </w:tc>
        <w:tc>
          <w:tcPr>
            <w:tcW w:type="dxa" w:w="1728"/>
          </w:tcPr>
          <w:p>
            <w:r>
              <w:t>20.77</w:t>
            </w:r>
          </w:p>
        </w:tc>
        <w:tc>
          <w:tcPr>
            <w:tcW w:type="dxa" w:w="1728"/>
          </w:tcPr>
          <w:p>
            <w:r>
              <w:t>13.59</w:t>
            </w:r>
          </w:p>
        </w:tc>
        <w:tc>
          <w:tcPr>
            <w:tcW w:type="dxa" w:w="1728"/>
          </w:tcPr>
          <w:p>
            <w:r>
              <w:t>5.67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  <w:spacing w:before="160"/>
      </w:pPr>
      <w:r>
        <w:t>3-Year Trend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Line</w:t>
            </w:r>
          </w:p>
        </w:tc>
        <w:tc>
          <w:tcPr>
            <w:tcW w:type="dxa" w:w="1728"/>
          </w:tcPr>
          <w:p>
            <w:r>
              <w:t>2025-06</w:t>
            </w:r>
          </w:p>
        </w:tc>
        <w:tc>
          <w:tcPr>
            <w:tcW w:type="dxa" w:w="1728"/>
          </w:tcPr>
          <w:p>
            <w:r>
              <w:t>2024-06</w:t>
            </w:r>
          </w:p>
        </w:tc>
        <w:tc>
          <w:tcPr>
            <w:tcW w:type="dxa" w:w="1728"/>
          </w:tcPr>
          <w:p>
            <w:r>
              <w:t>2023-06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Revenue</w:t>
            </w:r>
          </w:p>
        </w:tc>
        <w:tc>
          <w:tcPr>
            <w:tcW w:type="dxa" w:w="1728"/>
          </w:tcPr>
          <w:p>
            <w:r>
              <w:t>252,701</w:t>
            </w:r>
          </w:p>
        </w:tc>
        <w:tc>
          <w:tcPr>
            <w:tcW w:type="dxa" w:w="1728"/>
          </w:tcPr>
          <w:p>
            <w:r>
              <w:t>232,088</w:t>
            </w:r>
          </w:p>
        </w:tc>
        <w:tc>
          <w:tcPr>
            <w:tcW w:type="dxa" w:w="1728"/>
          </w:tcPr>
          <w:p>
            <w:r>
              <w:t>214,956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EBITDA</w:t>
            </w:r>
          </w:p>
        </w:tc>
        <w:tc>
          <w:tcPr>
            <w:tcW w:type="dxa" w:w="1728"/>
          </w:tcPr>
          <w:p>
            <w:r>
              <w:t>6,931</w:t>
            </w:r>
          </w:p>
        </w:tc>
        <w:tc>
          <w:tcPr>
            <w:tcW w:type="dxa" w:w="1728"/>
          </w:tcPr>
          <w:p>
            <w:r>
              <w:t>5,817</w:t>
            </w:r>
          </w:p>
        </w:tc>
        <w:tc>
          <w:tcPr>
            <w:tcW w:type="dxa" w:w="1728"/>
          </w:tcPr>
          <w:p>
            <w:r>
              <w:t>6,042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ND/EBITDA</w:t>
            </w:r>
          </w:p>
        </w:tc>
        <w:tc>
          <w:tcPr>
            <w:tcW w:type="dxa" w:w="1728"/>
          </w:tcPr>
          <w:p>
            <w:r>
              <w:t>5.05</w:t>
            </w:r>
          </w:p>
        </w:tc>
        <w:tc>
          <w:tcPr>
            <w:tcW w:type="dxa" w:w="1728"/>
          </w:tcPr>
          <w:p>
            <w:r>
              <w:t>4.79</w:t>
            </w:r>
          </w:p>
        </w:tc>
        <w:tc>
          <w:tcPr>
            <w:tcW w:type="dxa" w:w="1728"/>
          </w:tcPr>
          <w:p>
            <w:r>
              <w:t>4.39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1"/>
        <w:spacing w:before="320" w:after="160"/>
      </w:pPr>
      <w:r>
        <w:t>Executive Summary</w:t>
      </w:r>
    </w:p>
    <w:p>
      <w:pPr>
        <w:spacing w:after="160" w:line="276" w:lineRule="auto"/>
      </w:pPr>
      <w:r>
        <w:t>This credit review covers Sample (Pty) Ltd for the period ending 2025-06-29.</w:t>
      </w:r>
    </w:p>
    <w:p>
      <w:pPr>
        <w:spacing w:after="160" w:line="276" w:lineRule="auto"/>
      </w:pPr>
      <w:r>
        <w:t>Internal rating: BBB. Recommendation: Caution.</w:t>
      </w:r>
    </w:p>
    <w:p>
      <w:pPr>
        <w:spacing w:after="160" w:line="276" w:lineRule="auto"/>
      </w:pPr>
      <w:r>
        <w:t>• Business Risk: Adequate (64.2/100)</w:t>
      </w:r>
    </w:p>
    <w:p>
      <w:pPr>
        <w:spacing w:after="160" w:line="276" w:lineRule="auto"/>
      </w:pPr>
      <w:r>
        <w:t>• Financial Performance: Adequate (62.2/100)</w:t>
      </w:r>
    </w:p>
    <w:p>
      <w:pPr>
        <w:spacing w:after="160" w:line="276" w:lineRule="auto"/>
      </w:pPr>
      <w:r>
        <w:t>• Liquidity: Weak (40.0/100)</w:t>
      </w:r>
    </w:p>
    <w:p>
      <w:pPr>
        <w:spacing w:after="160" w:line="276" w:lineRule="auto"/>
      </w:pPr>
      <w:r>
        <w:t>• Leverage: Weak (22.5/100)</w:t>
      </w:r>
    </w:p>
    <w:p>
      <w:pPr>
        <w:spacing w:after="160" w:line="276" w:lineRule="auto"/>
      </w:pPr>
      <w:r>
        <w:t>• Accounting Quality: Weak (40.0/100)</w:t>
      </w:r>
    </w:p>
    <w:p>
      <w:pPr>
        <w:spacing w:after="160" w:line="276" w:lineRule="auto"/>
      </w:pPr>
      <w:r>
        <w:t>Revenue growth: 8.9% YoY.</w:t>
      </w:r>
    </w:p>
    <w:p>
      <w:pPr>
        <w:spacing w:after="160" w:line="276" w:lineRule="auto"/>
      </w:pPr>
      <w:r>
        <w:t>Net debt/EBITDA (incl. leases): 5.05x.</w:t>
      </w:r>
    </w:p>
    <w:p>
      <w:pPr>
        <w:spacing w:after="160" w:line="276" w:lineRule="auto"/>
      </w:pPr>
      <w:r>
        <w:t>Key risks and mitigants are set out in the sections below.</w:t>
      </w:r>
    </w:p>
    <w:p>
      <w:pPr>
        <w:pStyle w:val="Heading1"/>
        <w:spacing w:before="320" w:after="160"/>
      </w:pPr>
      <w:r>
        <w:t>Transaction Overview</w:t>
      </w:r>
    </w:p>
    <w:p>
      <w:pPr>
        <w:spacing w:after="160" w:line="276" w:lineRule="auto"/>
      </w:pPr>
      <w:r>
        <w:t>Transaction details to be completed by deal team.</w:t>
      </w:r>
    </w:p>
    <w:p>
      <w:pPr>
        <w:pStyle w:val="Heading1"/>
        <w:spacing w:before="320" w:after="160"/>
      </w:pPr>
      <w:r>
        <w:t>Business Risk Assessment</w:t>
      </w:r>
    </w:p>
    <w:p>
      <w:pPr>
        <w:spacing w:after="160" w:line="276" w:lineRule="auto"/>
      </w:pPr>
      <w:r>
        <w:t>Business Risk Assessment — Score: 64.2/100, Rating: Adequate</w:t>
      </w:r>
    </w:p>
    <w:p>
      <w:pPr>
        <w:spacing w:after="160" w:line="276" w:lineRule="auto"/>
      </w:pPr>
      <w:r>
        <w:t>Business risk is adequate.</w:t>
      </w:r>
    </w:p>
    <w:p>
      <w:pPr>
        <w:spacing w:after="160" w:line="276" w:lineRule="auto"/>
      </w:pPr>
      <w:r>
        <w:t>Revenue of 252,701.00 grew 8.9% YoY.</w:t>
      </w:r>
    </w:p>
    <w:p>
      <w:pPr>
        <w:spacing w:after="160" w:line="276" w:lineRule="auto"/>
      </w:pPr>
      <w:r>
        <w:t>Key drivers: scale, diversification, and market position influence the section score.</w:t>
      </w:r>
    </w:p>
    <w:p>
      <w:pPr>
        <w:spacing w:before="160" w:after="80"/>
      </w:pPr>
      <w:r>
        <w:rPr>
          <w:b/>
          <w:sz w:val="20"/>
        </w:rPr>
        <w:t>Key metrics:</w:t>
      </w:r>
    </w:p>
    <w:p>
      <w:pPr>
        <w:pStyle w:val="ListBullet"/>
        <w:spacing w:after="40"/>
        <w:ind w:left="360"/>
      </w:pPr>
      <w:r>
        <w:t>Revenue: 252,701.00</w:t>
      </w:r>
    </w:p>
    <w:p>
      <w:pPr>
        <w:pStyle w:val="ListBullet"/>
        <w:spacing w:after="40"/>
        <w:ind w:left="360"/>
      </w:pPr>
      <w:r>
        <w:t>Revenue Growth Pct: 8.90</w:t>
      </w:r>
    </w:p>
    <w:p>
      <w:pPr>
        <w:pStyle w:val="ListBullet"/>
        <w:spacing w:after="40"/>
        <w:ind w:left="360"/>
      </w:pPr>
      <w:r>
        <w:t>Ebitda Margin Pct: 2.70</w:t>
      </w:r>
    </w:p>
    <w:p>
      <w:pPr>
        <w:pStyle w:val="ListBullet"/>
        <w:spacing w:after="40"/>
        <w:ind w:left="360"/>
      </w:pPr>
      <w:r>
        <w:t>Ebitda Growth Pct: 19.20</w:t>
      </w:r>
    </w:p>
    <w:p>
      <w:pPr>
        <w:pStyle w:val="ListBullet"/>
        <w:spacing w:after="40"/>
        <w:ind w:left="360"/>
      </w:pPr>
      <w:r>
        <w:t>Margin Delta Bps: 24.00</w:t>
      </w:r>
    </w:p>
    <w:p>
      <w:pPr>
        <w:pStyle w:val="ListBullet"/>
        <w:spacing w:after="120"/>
        <w:ind w:left="360"/>
      </w:pPr>
      <w:r>
        <w:t>Segment Count: 10.00</w:t>
      </w:r>
    </w:p>
    <w:p>
      <w:pPr>
        <w:spacing w:after="160" w:line="276" w:lineRule="auto"/>
      </w:pPr>
      <w:r>
        <w:t>Source notes: Operating segments (Note 2/26): 10 identified, Note 2: Operating segments, Note 26: Revenue, Note 43: Risk management</w:t>
      </w:r>
    </w:p>
    <w:p>
      <w:pPr>
        <w:pStyle w:val="Heading1"/>
        <w:spacing w:before="320" w:after="160"/>
      </w:pPr>
      <w:r>
        <w:t>Industry Overview</w:t>
      </w:r>
    </w:p>
    <w:p>
      <w:pPr>
        <w:spacing w:after="160" w:line="276" w:lineRule="auto"/>
      </w:pPr>
      <w:r>
        <w:t>Company operates across 10 business segments.</w:t>
      </w:r>
    </w:p>
    <w:p>
      <w:pPr>
        <w:pStyle w:val="Heading1"/>
        <w:spacing w:before="320" w:after="160"/>
      </w:pPr>
      <w:r>
        <w:t>Competitive Position</w:t>
      </w:r>
    </w:p>
    <w:p>
      <w:pPr>
        <w:spacing w:after="160" w:line="276" w:lineRule="auto"/>
      </w:pPr>
      <w:r>
        <w:t>EBITDA margin of 2.7%. Revenue growth 8.9% YoY indicates market positioning.</w:t>
      </w:r>
    </w:p>
    <w:p>
      <w:pPr>
        <w:pStyle w:val="Heading1"/>
        <w:spacing w:before="320" w:after="160"/>
      </w:pPr>
      <w:r>
        <w:t>Financial Performance</w:t>
      </w:r>
    </w:p>
    <w:p>
      <w:pPr>
        <w:spacing w:after="160" w:line="276" w:lineRule="auto"/>
      </w:pPr>
      <w:r>
        <w:t>3-Year Financial Summary:</w:t>
        <w:br/>
        <w:t>Period | Revenue | EBITDA | EBITDA % | Net Debt | ND/EBITDA | Interest Cover</w:t>
        <w:br/>
        <w:t>2025-06-30 | 252,701.00 | 6,931.00 | 2.7% | 35,033.00 | 5.05x | 2.92x</w:t>
        <w:br/>
        <w:t>2024-06-30 | 232,088.00 | 5,817.00 | 2.5% | 27,865.00 | 4.79x | 3.05x</w:t>
        <w:br/>
        <w:t>2023-06-30 | 214,956.00 | 6,042.00 | 2.8% | 26,538.00 | 4.39x | 3.37x</w:t>
      </w:r>
    </w:p>
    <w:p>
      <w:pPr>
        <w:spacing w:after="160" w:line="276" w:lineRule="auto"/>
      </w:pPr>
      <w:r>
        <w:t>Financial Performance Analysis — Score: 62.2/100, Rating: Adequate</w:t>
      </w:r>
    </w:p>
    <w:p>
      <w:pPr>
        <w:spacing w:after="160" w:line="276" w:lineRule="auto"/>
      </w:pPr>
      <w:r>
        <w:t>Revenue of 252,701.00  grew 8.9% YoY .  EBITDA margin is 2.7%.</w:t>
      </w:r>
    </w:p>
    <w:p>
      <w:pPr>
        <w:spacing w:after="160" w:line="276" w:lineRule="auto"/>
      </w:pPr>
      <w:r>
        <w:t>CFO/EBITDA of 1.58x indicates strong cash conversion from earnings.  FCF conversion supports debt service capacity.</w:t>
      </w:r>
    </w:p>
    <w:p>
      <w:pPr>
        <w:spacing w:after="160" w:line="276" w:lineRule="auto"/>
      </w:pPr>
      <w:r>
        <w:t>EBITDA margin of 2.7% reflects operating efficiency and pricing power.</w:t>
      </w:r>
    </w:p>
    <w:p>
      <w:pPr>
        <w:spacing w:after="160" w:line="276" w:lineRule="auto"/>
      </w:pPr>
      <w:r>
        <w:t>Revenue concentration and cyclicality are assessed in the business risk section.</w:t>
      </w:r>
    </w:p>
    <w:p>
      <w:pPr>
        <w:spacing w:after="160" w:line="276" w:lineRule="auto"/>
      </w:pPr>
      <w:r>
        <w:t>Financial performance is adequate and contributes to the overall section-weighted score.</w:t>
      </w:r>
    </w:p>
    <w:p>
      <w:pPr>
        <w:spacing w:before="160" w:after="80"/>
      </w:pPr>
      <w:r>
        <w:rPr>
          <w:b/>
          <w:sz w:val="20"/>
        </w:rPr>
        <w:t>Key metrics:</w:t>
      </w:r>
    </w:p>
    <w:p>
      <w:pPr>
        <w:pStyle w:val="ListBullet"/>
        <w:spacing w:after="40"/>
        <w:ind w:left="360"/>
      </w:pPr>
      <w:r>
        <w:t>Revenue: 252,701.00</w:t>
      </w:r>
    </w:p>
    <w:p>
      <w:pPr>
        <w:pStyle w:val="ListBullet"/>
        <w:spacing w:after="40"/>
        <w:ind w:left="360"/>
      </w:pPr>
      <w:r>
        <w:t>Revenue Growth Pct: 8.90</w:t>
      </w:r>
    </w:p>
    <w:p>
      <w:pPr>
        <w:pStyle w:val="ListBullet"/>
        <w:spacing w:after="40"/>
        <w:ind w:left="360"/>
      </w:pPr>
      <w:r>
        <w:t>Ebitda Margin Pct: 2.70</w:t>
      </w:r>
    </w:p>
    <w:p>
      <w:pPr>
        <w:pStyle w:val="ListBullet"/>
        <w:spacing w:after="40"/>
        <w:ind w:left="360"/>
      </w:pPr>
      <w:r>
        <w:t>Cfo To Ebitda: 1.58</w:t>
      </w:r>
    </w:p>
    <w:p>
      <w:pPr>
        <w:pStyle w:val="ListBullet"/>
        <w:spacing w:after="40"/>
        <w:ind w:left="360"/>
      </w:pPr>
      <w:r>
        <w:t>Ebitda Growth Pct: 19.20</w:t>
      </w:r>
    </w:p>
    <w:p>
      <w:pPr>
        <w:pStyle w:val="ListBullet"/>
        <w:spacing w:after="40"/>
        <w:ind w:left="360"/>
      </w:pPr>
      <w:r>
        <w:t>Fcf Conversion: 2.50</w:t>
      </w:r>
    </w:p>
    <w:p>
      <w:pPr>
        <w:pStyle w:val="ListBullet"/>
        <w:spacing w:after="40"/>
        <w:ind w:left="360"/>
      </w:pPr>
      <w:r>
        <w:t>Operating Profit: 14,943.00</w:t>
      </w:r>
    </w:p>
    <w:p>
      <w:pPr>
        <w:pStyle w:val="ListBullet"/>
        <w:spacing w:after="40"/>
        <w:ind w:left="360"/>
      </w:pPr>
      <w:r>
        <w:t>Pat Growth Pct: 21.90</w:t>
      </w:r>
    </w:p>
    <w:p>
      <w:pPr>
        <w:pStyle w:val="ListBullet"/>
        <w:spacing w:after="120"/>
        <w:ind w:left="360"/>
      </w:pPr>
      <w:r>
        <w:t>Profit After Tax: 7,583.00</w:t>
      </w:r>
    </w:p>
    <w:p>
      <w:pPr>
        <w:spacing w:after="160" w:line="276" w:lineRule="auto"/>
      </w:pPr>
      <w:r>
        <w:t>Source notes: Note 27: Depreciation, Note 30: Operating expenses, Note 33: Finance costs, Note 34: Tax</w:t>
      </w:r>
    </w:p>
    <w:p>
      <w:pPr>
        <w:pStyle w:val="Heading1"/>
        <w:spacing w:before="320" w:after="160"/>
      </w:pPr>
      <w:r>
        <w:t>Financial Risk</w:t>
      </w:r>
    </w:p>
    <w:p>
      <w:pPr>
        <w:spacing w:after="160" w:line="276" w:lineRule="auto"/>
      </w:pPr>
      <w:r>
        <w:t>A_revenue_minus_10pct: Interest cover 2.63x ND/EBITDA 5.62x</w:t>
        <w:br/>
        <w:t>B_interest_plus_200bps: Interest cover 2.90x</w:t>
        <w:br/>
        <w:t>C_working_capital_shock: Cash after shock: -15,324.10</w:t>
        <w:br/>
        <w:t>D_margin_compression_200bps: Interest cover 0.79x ND/EBITDA 18.66x</w:t>
        <w:br/>
        <w:t>E_combined: Interest cover 2.61x ND/EBITDA 5.62x</w:t>
      </w:r>
    </w:p>
    <w:p>
      <w:pPr>
        <w:pStyle w:val="Heading1"/>
        <w:spacing w:before="320" w:after="160"/>
      </w:pPr>
      <w:r>
        <w:t>Cash Flow &amp; Liquidity</w:t>
      </w:r>
    </w:p>
    <w:p>
      <w:pPr>
        <w:spacing w:after="160" w:line="276" w:lineRule="auto"/>
      </w:pPr>
      <w:r>
        <w:t>Cash Flow &amp; Liquidity — Score: 40.0/100, Rating: Weak</w:t>
      </w:r>
    </w:p>
    <w:p>
      <w:pPr>
        <w:spacing w:after="160" w:line="276" w:lineRule="auto"/>
      </w:pPr>
      <w:r>
        <w:t>12-month forward liquidity coverage (sources/uses) is 0.21x.  Liquidity surplus over 12 months: -77,275.02.</w:t>
      </w:r>
    </w:p>
    <w:p>
      <w:pPr>
        <w:spacing w:after="160" w:line="276" w:lineRule="auto"/>
      </w:pPr>
      <w:r>
        <w:t>Opening cash of 9,946.00 against ST debt of 44,979.00  implies reliance on undrawn facilities or operating cash flow to meet maturities.</w:t>
      </w:r>
    </w:p>
    <w:p>
      <w:pPr>
        <w:spacing w:after="160" w:line="276" w:lineRule="auto"/>
      </w:pPr>
      <w:r>
        <w:t>Liquidity is critical; sources are insufficient to cover 12-month uses.</w:t>
      </w:r>
    </w:p>
    <w:p>
      <w:pPr>
        <w:spacing w:after="160" w:line="276" w:lineRule="auto"/>
      </w:pPr>
      <w:r>
        <w:t>Current ratio below 1.0x indicates short-term obligations exceed liquid assets.</w:t>
      </w:r>
    </w:p>
    <w:p>
      <w:pPr>
        <w:spacing w:after="160" w:line="276" w:lineRule="auto"/>
      </w:pPr>
      <w:r>
        <w:t>The liquidity profile is weak and influences the rating through governance caps where applicable.</w:t>
      </w:r>
    </w:p>
    <w:p>
      <w:pPr>
        <w:spacing w:before="160" w:after="80"/>
      </w:pPr>
      <w:r>
        <w:rPr>
          <w:b/>
          <w:sz w:val="20"/>
        </w:rPr>
        <w:t>Key metrics:</w:t>
      </w:r>
    </w:p>
    <w:p>
      <w:pPr>
        <w:pStyle w:val="ListBullet"/>
        <w:spacing w:after="40"/>
        <w:ind w:left="360"/>
      </w:pPr>
      <w:r>
        <w:t>Current Ratio: 0.89</w:t>
      </w:r>
    </w:p>
    <w:p>
      <w:pPr>
        <w:pStyle w:val="ListBullet"/>
        <w:spacing w:after="40"/>
        <w:ind w:left="360"/>
      </w:pPr>
      <w:r>
        <w:t>Liquidity Coverage Ratio: 0.21</w:t>
      </w:r>
    </w:p>
    <w:p>
      <w:pPr>
        <w:pStyle w:val="ListBullet"/>
        <w:spacing w:after="40"/>
        <w:ind w:left="360"/>
      </w:pPr>
      <w:r>
        <w:t>Liquidity Surplus 12M: -77,275.02</w:t>
      </w:r>
    </w:p>
    <w:p>
      <w:pPr>
        <w:pStyle w:val="ListBullet"/>
        <w:spacing w:after="40"/>
        <w:ind w:left="360"/>
      </w:pPr>
      <w:r>
        <w:t>Liquidity Headroom Pct: -78.70</w:t>
      </w:r>
    </w:p>
    <w:p>
      <w:pPr>
        <w:pStyle w:val="ListBullet"/>
        <w:spacing w:after="40"/>
        <w:ind w:left="360"/>
      </w:pPr>
      <w:r>
        <w:t>Capex: -6,320.00</w:t>
      </w:r>
    </w:p>
    <w:p>
      <w:pPr>
        <w:pStyle w:val="ListBullet"/>
        <w:spacing w:after="40"/>
        <w:ind w:left="360"/>
      </w:pPr>
      <w:r>
        <w:t>Cash: 9,946.00</w:t>
      </w:r>
    </w:p>
    <w:p>
      <w:pPr>
        <w:pStyle w:val="ListBullet"/>
        <w:spacing w:after="40"/>
        <w:ind w:left="360"/>
      </w:pPr>
      <w:r>
        <w:t>Fcf: 17,304.00</w:t>
      </w:r>
    </w:p>
    <w:p>
      <w:pPr>
        <w:pStyle w:val="ListBullet"/>
        <w:spacing w:after="40"/>
        <w:ind w:left="360"/>
      </w:pPr>
      <w:r>
        <w:t>Lease Adjusted Liquidity: -33,170.00</w:t>
      </w:r>
    </w:p>
    <w:p>
      <w:pPr>
        <w:pStyle w:val="ListBullet"/>
        <w:spacing w:after="40"/>
        <w:ind w:left="360"/>
      </w:pPr>
      <w:r>
        <w:t>Net Cfo: 10,984.00</w:t>
      </w:r>
    </w:p>
    <w:p>
      <w:pPr>
        <w:pStyle w:val="ListBullet"/>
        <w:spacing w:after="120"/>
        <w:ind w:left="360"/>
      </w:pPr>
      <w:r>
        <w:t>Quick Ratio: 0.23</w:t>
      </w:r>
    </w:p>
    <w:p>
      <w:pPr>
        <w:spacing w:before="160" w:after="80"/>
      </w:pPr>
      <w:r>
        <w:rPr>
          <w:b/>
          <w:sz w:val="20"/>
        </w:rPr>
        <w:t>Risk flags:</w:t>
      </w:r>
    </w:p>
    <w:p>
      <w:pPr>
        <w:pStyle w:val="ListBullet"/>
        <w:spacing w:after="40"/>
        <w:ind w:left="360"/>
      </w:pPr>
      <w:r>
        <w:t>Liquidity coverage &lt;1.0x - Critical</w:t>
      </w:r>
    </w:p>
    <w:p>
      <w:pPr>
        <w:pStyle w:val="ListBullet"/>
        <w:spacing w:after="120"/>
        <w:ind w:left="360"/>
      </w:pPr>
      <w:r>
        <w:t>ST debt/cash elevated</w:t>
      </w:r>
    </w:p>
    <w:p>
      <w:pPr>
        <w:spacing w:after="160" w:line="276" w:lineRule="auto"/>
      </w:pPr>
      <w:r>
        <w:t>Source notes: Note 38: Cash flows, Note 21: Borrowings, Note 20: Lease liabilities, Note 48: Going concern</w:t>
      </w:r>
    </w:p>
    <w:p>
      <w:pPr>
        <w:pStyle w:val="Heading1"/>
        <w:spacing w:before="320" w:after="160"/>
      </w:pPr>
      <w:r>
        <w:t>Balance Sheet &amp; Leverage</w:t>
      </w:r>
    </w:p>
    <w:p>
      <w:pPr>
        <w:spacing w:after="160" w:line="276" w:lineRule="auto"/>
      </w:pPr>
      <w:r>
        <w:t>Leverage &amp; Capital Structure — Score: 22.5/100, Rating: Weak</w:t>
      </w:r>
    </w:p>
    <w:p>
      <w:pPr>
        <w:spacing w:after="160" w:line="276" w:lineRule="auto"/>
      </w:pPr>
      <w:r>
        <w:t>Net debt/EBITDA (incl. leases) is 5.05x , increasing from 4.79x in the prior period.  Interest cover stands at 1.34x.</w:t>
      </w:r>
    </w:p>
    <w:p>
      <w:pPr>
        <w:spacing w:after="160" w:line="276" w:lineRule="auto"/>
      </w:pPr>
      <w:r>
        <w:t>The increase in leverage reflects  higher debt and/or lower EBITDA.  Net debt ex-leases is negative (cash exceeds debt); lease-adjusted leverage remains material due to IFRS 16 adoption.</w:t>
      </w:r>
    </w:p>
    <w:p>
      <w:pPr>
        <w:spacing w:after="160" w:line="276" w:lineRule="auto"/>
      </w:pPr>
      <w:r>
        <w:t>Leverage of 5.05x is  structurally elevated and inconsistent with investment-grade metrics.</w:t>
      </w:r>
    </w:p>
    <w:p>
      <w:pPr>
        <w:spacing w:after="160" w:line="276" w:lineRule="auto"/>
      </w:pPr>
      <w:r>
        <w:t>Current leverage exceeds covenant threshold of 2.8x, indicating breach risk.  Under a 10% revenue stress scenario leverage increases to 18.66x.</w:t>
      </w:r>
    </w:p>
    <w:p>
      <w:pPr>
        <w:spacing w:after="160" w:line="276" w:lineRule="auto"/>
      </w:pPr>
      <w:r>
        <w:t>The leverage profile is weak and  constrains the rating through governance caps.</w:t>
      </w:r>
    </w:p>
    <w:p>
      <w:pPr>
        <w:spacing w:before="160" w:after="80"/>
      </w:pPr>
      <w:r>
        <w:rPr>
          <w:b/>
          <w:sz w:val="20"/>
        </w:rPr>
        <w:t>Key metrics:</w:t>
      </w:r>
    </w:p>
    <w:p>
      <w:pPr>
        <w:pStyle w:val="ListBullet"/>
        <w:spacing w:after="40"/>
        <w:ind w:left="360"/>
      </w:pPr>
      <w:r>
        <w:t>Net Debt Ex Leases: -8,083.00</w:t>
      </w:r>
    </w:p>
    <w:p>
      <w:pPr>
        <w:pStyle w:val="ListBullet"/>
        <w:spacing w:after="40"/>
        <w:ind w:left="360"/>
      </w:pPr>
      <w:r>
        <w:t>Net Debt Incl Leases: 35,033.00</w:t>
      </w:r>
    </w:p>
    <w:p>
      <w:pPr>
        <w:pStyle w:val="ListBullet"/>
        <w:spacing w:after="40"/>
        <w:ind w:left="360"/>
      </w:pPr>
      <w:r>
        <w:t>Net Debt To Ebitda Ex Leases: -1.17</w:t>
      </w:r>
    </w:p>
    <w:p>
      <w:pPr>
        <w:pStyle w:val="ListBullet"/>
        <w:spacing w:after="40"/>
        <w:ind w:left="360"/>
      </w:pPr>
      <w:r>
        <w:t>Net Debt To Ebitda Incl Leases: 5.05</w:t>
      </w:r>
    </w:p>
    <w:p>
      <w:pPr>
        <w:pStyle w:val="ListBullet"/>
        <w:spacing w:after="40"/>
        <w:ind w:left="360"/>
      </w:pPr>
      <w:r>
        <w:t>Ebitda To Interest: 1.34</w:t>
      </w:r>
    </w:p>
    <w:p>
      <w:pPr>
        <w:pStyle w:val="ListBullet"/>
        <w:spacing w:after="40"/>
        <w:ind w:left="360"/>
      </w:pPr>
      <w:r>
        <w:t>Debt To Capital: 0.86</w:t>
      </w:r>
    </w:p>
    <w:p>
      <w:pPr>
        <w:pStyle w:val="ListBullet"/>
        <w:spacing w:after="40"/>
        <w:ind w:left="360"/>
      </w:pPr>
      <w:r>
        <w:t>Fixed Charge Cover: 0.73</w:t>
      </w:r>
    </w:p>
    <w:p>
      <w:pPr>
        <w:pStyle w:val="ListBullet"/>
        <w:spacing w:after="40"/>
        <w:ind w:left="360"/>
      </w:pPr>
      <w:r>
        <w:t>Gross Debt: 44,979.00</w:t>
      </w:r>
    </w:p>
    <w:p>
      <w:pPr>
        <w:pStyle w:val="ListBullet"/>
        <w:spacing w:after="120"/>
        <w:ind w:left="360"/>
      </w:pPr>
      <w:r>
        <w:t>Lease Adjusted Interest Cover: 0.73</w:t>
      </w:r>
    </w:p>
    <w:p>
      <w:pPr>
        <w:spacing w:before="160" w:after="80"/>
      </w:pPr>
      <w:r>
        <w:rPr>
          <w:b/>
          <w:sz w:val="20"/>
        </w:rPr>
        <w:t>Risk flags:</w:t>
      </w:r>
    </w:p>
    <w:p>
      <w:pPr>
        <w:pStyle w:val="ListBullet"/>
        <w:spacing w:after="40"/>
        <w:ind w:left="360"/>
      </w:pPr>
      <w:r>
        <w:t>High leverage (ND/EBITDA &gt; 4x)</w:t>
      </w:r>
    </w:p>
    <w:p>
      <w:pPr>
        <w:pStyle w:val="ListBullet"/>
        <w:spacing w:after="120"/>
        <w:ind w:left="360"/>
      </w:pPr>
      <w:r>
        <w:t>Interest cover below 2x</w:t>
      </w:r>
    </w:p>
    <w:p>
      <w:pPr>
        <w:spacing w:after="160" w:line="276" w:lineRule="auto"/>
      </w:pPr>
      <w:r>
        <w:t>Source notes: Note 21: Borrowings, Note 20: Lease liabilities, Note 39: Contingent liabilities</w:t>
      </w:r>
    </w:p>
    <w:p>
      <w:pPr>
        <w:pStyle w:val="Heading1"/>
        <w:spacing w:before="320" w:after="160"/>
      </w:pPr>
      <w:r>
        <w:t>Stress Testing Results</w:t>
      </w:r>
    </w:p>
    <w:p>
      <w:pPr>
        <w:spacing w:after="160" w:line="276" w:lineRule="auto"/>
      </w:pPr>
      <w:r>
        <w:t>A_revenue_minus_10pct: Interest cover 2.63x ND/EBITDA 5.62x</w:t>
        <w:br/>
        <w:t>B_interest_plus_200bps: Interest cover 2.90x</w:t>
        <w:br/>
        <w:t>C_working_capital_shock: Cash after shock: -15,324.10</w:t>
        <w:br/>
        <w:t>D_margin_compression_200bps: Interest cover 0.79x ND/EBITDA 18.66x</w:t>
        <w:br/>
        <w:t>E_combined: Interest cover 2.61x ND/EBITDA 5.62x</w:t>
      </w:r>
    </w:p>
    <w:p>
      <w:pPr>
        <w:pStyle w:val="Heading1"/>
        <w:spacing w:before="320" w:after="160"/>
      </w:pPr>
      <w:r>
        <w:t>Accounting &amp; Disclosure Quality</w:t>
      </w:r>
    </w:p>
    <w:p>
      <w:pPr>
        <w:spacing w:after="160" w:line="276" w:lineRule="auto"/>
      </w:pPr>
      <w:r>
        <w:t>Accounting &amp; Disclosure Quality — Score: 40.0/100, Rating: Weak</w:t>
      </w:r>
    </w:p>
    <w:p>
      <w:pPr>
        <w:spacing w:after="160" w:line="276" w:lineRule="auto"/>
      </w:pPr>
      <w:r>
        <w:t>Accounting and disclosure quality is weak. No material accounting risk areas. Financial statements follow IFRS with appropriate disclosure. Rating impact is through the section-weighted score.</w:t>
      </w:r>
    </w:p>
    <w:p>
      <w:pPr>
        <w:spacing w:before="160" w:after="80"/>
      </w:pPr>
      <w:r>
        <w:rPr>
          <w:b/>
          <w:sz w:val="20"/>
        </w:rPr>
        <w:t>Key metrics:</w:t>
      </w:r>
    </w:p>
    <w:p>
      <w:pPr>
        <w:pStyle w:val="ListBullet"/>
        <w:spacing w:after="120"/>
        <w:ind w:left="360"/>
      </w:pPr>
      <w:r>
        <w:t>Deterministic Score: 40.00</w:t>
      </w:r>
    </w:p>
    <w:p>
      <w:pPr>
        <w:spacing w:before="160" w:after="80"/>
      </w:pPr>
      <w:r>
        <w:rPr>
          <w:b/>
          <w:sz w:val="20"/>
        </w:rPr>
        <w:t>Risk flags:</w:t>
      </w:r>
    </w:p>
    <w:p>
      <w:pPr>
        <w:pStyle w:val="ListBullet"/>
        <w:spacing w:after="40"/>
        <w:ind w:left="360"/>
      </w:pPr>
      <w:r>
        <w:t>Impairment sensitivity disclosed: -10</w:t>
      </w:r>
    </w:p>
    <w:p>
      <w:pPr>
        <w:pStyle w:val="ListBullet"/>
        <w:spacing w:after="40"/>
        <w:ind w:left="360"/>
      </w:pPr>
      <w:r>
        <w:t>Impairment sensitivity disclosed: -10</w:t>
      </w:r>
    </w:p>
    <w:p>
      <w:pPr>
        <w:pStyle w:val="ListBullet"/>
        <w:spacing w:after="120"/>
        <w:ind w:left="360"/>
      </w:pPr>
      <w:r>
        <w:t>Going concern uncertainty: -20</w:t>
      </w:r>
    </w:p>
    <w:p>
      <w:pPr>
        <w:spacing w:after="160" w:line="276" w:lineRule="auto"/>
      </w:pPr>
      <w:r>
        <w:t>Source notes: Note 1: Significant judgement, Note 8: Impairment, Note 14: Deferred tax, Note 43: Financial instruments</w:t>
      </w:r>
    </w:p>
    <w:p>
      <w:pPr>
        <w:pStyle w:val="Heading1"/>
        <w:spacing w:before="320" w:after="160"/>
      </w:pPr>
      <w:r>
        <w:t>Key Notes (Accounting)</w:t>
      </w:r>
    </w:p>
    <w:p>
      <w:pPr>
        <w:spacing w:after="160" w:line="276" w:lineRule="auto"/>
      </w:pPr>
      <w:r>
        <w:t>Accounting &amp; Disclosure Quality — Score: 40.0/100, Rating: Weak</w:t>
      </w:r>
    </w:p>
    <w:p>
      <w:pPr>
        <w:spacing w:after="160" w:line="276" w:lineRule="auto"/>
      </w:pPr>
      <w:r>
        <w:t>Accounting and disclosure quality is weak. No material accounting risk areas. Financial statements follow IFRS with appropriate disclosure. Rating impact is through the section-weighted score.</w:t>
      </w:r>
    </w:p>
    <w:p>
      <w:pPr>
        <w:spacing w:before="160" w:after="80"/>
      </w:pPr>
      <w:r>
        <w:rPr>
          <w:b/>
          <w:sz w:val="20"/>
        </w:rPr>
        <w:t>Key metrics:</w:t>
      </w:r>
    </w:p>
    <w:p>
      <w:pPr>
        <w:pStyle w:val="ListBullet"/>
        <w:spacing w:after="120"/>
        <w:ind w:left="360"/>
      </w:pPr>
      <w:r>
        <w:t>Deterministic Score: 40.00</w:t>
      </w:r>
    </w:p>
    <w:p>
      <w:pPr>
        <w:spacing w:before="160" w:after="80"/>
      </w:pPr>
      <w:r>
        <w:rPr>
          <w:b/>
          <w:sz w:val="20"/>
        </w:rPr>
        <w:t>Risk flags:</w:t>
      </w:r>
    </w:p>
    <w:p>
      <w:pPr>
        <w:pStyle w:val="ListBullet"/>
        <w:spacing w:after="40"/>
        <w:ind w:left="360"/>
      </w:pPr>
      <w:r>
        <w:t>Impairment sensitivity disclosed: -10</w:t>
      </w:r>
    </w:p>
    <w:p>
      <w:pPr>
        <w:pStyle w:val="ListBullet"/>
        <w:spacing w:after="40"/>
        <w:ind w:left="360"/>
      </w:pPr>
      <w:r>
        <w:t>Impairment sensitivity disclosed: -10</w:t>
      </w:r>
    </w:p>
    <w:p>
      <w:pPr>
        <w:pStyle w:val="ListBullet"/>
        <w:spacing w:after="120"/>
        <w:ind w:left="360"/>
      </w:pPr>
      <w:r>
        <w:t>Going concern uncertainty: -20</w:t>
      </w:r>
    </w:p>
    <w:p>
      <w:pPr>
        <w:spacing w:after="160" w:line="276" w:lineRule="auto"/>
      </w:pPr>
      <w:r>
        <w:t>Source notes: Note 1: Significant judgement, Note 8: Impairment, Note 14: Deferred tax, Note 43: Financial instruments</w:t>
      </w:r>
    </w:p>
    <w:p>
      <w:pPr>
        <w:pStyle w:val="Heading1"/>
        <w:spacing w:before="320" w:after="160"/>
      </w:pPr>
      <w:r>
        <w:t>Key Risks</w:t>
      </w:r>
    </w:p>
    <w:p>
      <w:pPr>
        <w:spacing w:after="160" w:line="276" w:lineRule="auto"/>
      </w:pPr>
      <w:r>
        <w:t>Impairment sensitivity disclosed: -10; Impairment sensitivity disclosed: -10; Going concern uncertainty: -20; A_revenue_minus_10pct: ND/EBITDA above 3x; C_working_capital_shock: Cash negative after shock; D_margin_compression_200bps: Interest cover below 2x</w:t>
      </w:r>
    </w:p>
    <w:p>
      <w:pPr>
        <w:pStyle w:val="Heading1"/>
        <w:spacing w:before="320" w:after="160"/>
      </w:pPr>
      <w:r>
        <w:t>Covenants &amp; Headroom</w:t>
      </w:r>
    </w:p>
    <w:p>
      <w:pPr>
        <w:spacing w:after="160" w:line="276" w:lineRule="auto"/>
      </w:pPr>
      <w:r>
        <w:t>Covenants &amp; Headroom — Score: 10.0/100, Rating: Weak</w:t>
      </w:r>
    </w:p>
    <w:p>
      <w:pPr>
        <w:spacing w:after="160" w:line="276" w:lineRule="auto"/>
      </w:pPr>
      <w:r>
        <w:t>Covenant terms: max leverage 2.8x, min interest cover 3.5x.  Current metrics indicate covenant breach.</w:t>
      </w:r>
    </w:p>
    <w:p>
      <w:pPr>
        <w:spacing w:after="160" w:line="276" w:lineRule="auto"/>
      </w:pPr>
      <w:r>
        <w:t>Leverage headroom: -83.6% to covenant limit.  Interest cover headroom: -61.7%.</w:t>
      </w:r>
    </w:p>
    <w:p>
      <w:pPr>
        <w:spacing w:after="160" w:line="276" w:lineRule="auto"/>
      </w:pPr>
      <w:r>
        <w:t>Breach triggers rating cap under governance (max BB-).</w:t>
      </w:r>
    </w:p>
    <w:p>
      <w:pPr>
        <w:spacing w:after="160" w:line="276" w:lineRule="auto"/>
      </w:pPr>
      <w:r>
        <w:t>Refer to Note 48 (borrowings) and Note 43.4.3 for covenant terms and cure rights.</w:t>
      </w:r>
    </w:p>
    <w:p>
      <w:pPr>
        <w:spacing w:after="160" w:line="276" w:lineRule="auto"/>
      </w:pPr>
      <w:r>
        <w:t>Covenant headroom is weak and directly influences the final rating where breach applies.</w:t>
      </w:r>
    </w:p>
    <w:p>
      <w:pPr>
        <w:spacing w:before="160" w:after="80"/>
      </w:pPr>
      <w:r>
        <w:rPr>
          <w:b/>
          <w:sz w:val="20"/>
        </w:rPr>
        <w:t>Key metrics:</w:t>
      </w:r>
    </w:p>
    <w:p>
      <w:pPr>
        <w:pStyle w:val="ListBullet"/>
        <w:spacing w:after="40"/>
        <w:ind w:left="360"/>
      </w:pPr>
      <w:r>
        <w:t>Coverage Headroom Pct: -61.70</w:t>
      </w:r>
    </w:p>
    <w:p>
      <w:pPr>
        <w:pStyle w:val="ListBullet"/>
        <w:spacing w:after="40"/>
        <w:ind w:left="360"/>
      </w:pPr>
      <w:r>
        <w:t>Leverage Headroom Pct: -83.60</w:t>
      </w:r>
    </w:p>
    <w:p>
      <w:pPr>
        <w:pStyle w:val="ListBullet"/>
        <w:spacing w:after="40"/>
        <w:ind w:left="360"/>
      </w:pPr>
      <w:r>
        <w:t>Covenant Interest Cover Min: 3.50</w:t>
      </w:r>
    </w:p>
    <w:p>
      <w:pPr>
        <w:pStyle w:val="ListBullet"/>
        <w:spacing w:after="40"/>
        <w:ind w:left="360"/>
      </w:pPr>
      <w:r>
        <w:t>Covenant Leverage Max: 2.75</w:t>
      </w:r>
    </w:p>
    <w:p>
      <w:pPr>
        <w:pStyle w:val="ListBullet"/>
        <w:spacing w:after="40"/>
        <w:ind w:left="360"/>
      </w:pPr>
      <w:r>
        <w:t>Current Interest Cover: 1.34</w:t>
      </w:r>
    </w:p>
    <w:p>
      <w:pPr>
        <w:pStyle w:val="ListBullet"/>
        <w:spacing w:after="40"/>
        <w:ind w:left="360"/>
      </w:pPr>
      <w:r>
        <w:t>Current Nd Ebitda: 5.05</w:t>
      </w:r>
    </w:p>
    <w:p>
      <w:pPr>
        <w:pStyle w:val="ListBullet"/>
        <w:spacing w:after="40"/>
        <w:ind w:left="360"/>
      </w:pPr>
      <w:r>
        <w:t>Interest Cover Breach: 1.00</w:t>
      </w:r>
    </w:p>
    <w:p>
      <w:pPr>
        <w:pStyle w:val="ListBullet"/>
        <w:spacing w:after="40"/>
        <w:ind w:left="360"/>
      </w:pPr>
      <w:r>
        <w:t>Interest Cover Breach Distance: 2.16</w:t>
      </w:r>
    </w:p>
    <w:p>
      <w:pPr>
        <w:pStyle w:val="ListBullet"/>
        <w:spacing w:after="40"/>
        <w:ind w:left="360"/>
      </w:pPr>
      <w:r>
        <w:t>Leverage Breach: 1.00</w:t>
      </w:r>
    </w:p>
    <w:p>
      <w:pPr>
        <w:pStyle w:val="ListBullet"/>
        <w:spacing w:after="120"/>
        <w:ind w:left="360"/>
      </w:pPr>
      <w:r>
        <w:t>Leverage Breach Distance: 2.30</w:t>
      </w:r>
    </w:p>
    <w:p>
      <w:pPr>
        <w:spacing w:before="160" w:after="80"/>
      </w:pPr>
      <w:r>
        <w:rPr>
          <w:b/>
          <w:sz w:val="20"/>
        </w:rPr>
        <w:t>Risk flags:</w:t>
      </w:r>
    </w:p>
    <w:p>
      <w:pPr>
        <w:pStyle w:val="ListBullet"/>
        <w:spacing w:after="40"/>
        <w:ind w:left="360"/>
      </w:pPr>
      <w:r>
        <w:t>Covenant breach: ND/EBITDA at or above limit</w:t>
      </w:r>
    </w:p>
    <w:p>
      <w:pPr>
        <w:pStyle w:val="ListBullet"/>
        <w:spacing w:after="120"/>
        <w:ind w:left="360"/>
      </w:pPr>
      <w:r>
        <w:t>Covenant breach: Interest cover below minimum</w:t>
      </w:r>
    </w:p>
    <w:p>
      <w:pPr>
        <w:spacing w:after="160" w:line="276" w:lineRule="auto"/>
      </w:pPr>
      <w:r>
        <w:t>Source notes: Note 48: Going concern, Note 43.4.3: Covenant terms</w:t>
      </w:r>
    </w:p>
    <w:p>
      <w:pPr>
        <w:pStyle w:val="Heading1"/>
        <w:spacing w:before="320" w:after="160"/>
      </w:pPr>
      <w:r>
        <w:t>Security &amp; Collateral</w:t>
      </w:r>
    </w:p>
    <w:p>
      <w:pPr>
        <w:spacing w:after="160" w:line="276" w:lineRule="auto"/>
      </w:pPr>
      <w:r>
        <w:t>Security and collateral details to be documented.</w:t>
      </w:r>
    </w:p>
    <w:p>
      <w:pPr>
        <w:pStyle w:val="Heading1"/>
        <w:spacing w:before="320" w:after="160"/>
      </w:pPr>
      <w:r>
        <w:t>Internal Rating Rationale</w:t>
      </w:r>
    </w:p>
    <w:p>
      <w:pPr>
        <w:spacing w:after="160" w:line="276" w:lineRule="auto"/>
      </w:pPr>
      <w:r>
        <w:t>Internal rating: BBB. Aggregate score: 48.1/100. Top positive drivers: Business Risk (Adequate), Financial Performance (Adequate). Key constraints: Leverage (Weak), Accounting Quality (Weak). Governance thresholds applied: Stress breach (Cash negative, ND/EBITDA ≥ 6x, Interest cover &lt; 2x): -2 notch(es).</w:t>
      </w:r>
    </w:p>
    <w:p>
      <w:pPr>
        <w:pStyle w:val="Heading1"/>
        <w:spacing w:before="320" w:after="160"/>
      </w:pPr>
      <w:r>
        <w:t>Recommendation &amp; Conditions</w:t>
      </w:r>
    </w:p>
    <w:p>
      <w:pPr>
        <w:spacing w:after="160" w:line="276" w:lineRule="auto"/>
      </w:pPr>
      <w:r>
        <w:t>Covenant breach: Monitor closely; early engagement with lenders.</w:t>
        <w:br/>
        <w:t>Leverage ND/EBITDA 5–6x: Monitor quarterly.</w:t>
      </w:r>
    </w:p>
    <w:p>
      <w:pPr>
        <w:pStyle w:val="Heading1"/>
        <w:spacing w:before="320" w:after="160"/>
      </w:pPr>
      <w:r>
        <w:t>Monitoring Plan</w:t>
      </w:r>
    </w:p>
    <w:p>
      <w:pPr>
        <w:spacing w:after="160" w:line="276" w:lineRule="auto"/>
      </w:pPr>
      <w:r>
        <w:t>Covenant breach: Monitor quarterly covenant compliance; early engagement with lenders.</w:t>
        <w:br/>
        <w:t>Leverage: ND/EBITDA at 5.05x; monitor debt reduction and EBITDA growth.</w:t>
        <w:br/>
        <w:t>Liquidity: Current ratio 0.89x; monitor cash and undrawn facilities.</w:t>
      </w:r>
    </w:p>
    <w:p>
      <w:pPr>
        <w:pStyle w:val="Heading1"/>
        <w:spacing w:before="320" w:after="160"/>
      </w:pPr>
      <w:r>
        <w:t>Appendices</w:t>
      </w:r>
    </w:p>
    <w:p>
      <w:pPr>
        <w:spacing w:after="160" w:line="276" w:lineRule="auto"/>
      </w:pPr>
      <w:r>
        <w:t>Supporting schedules and exhibits.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