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Review Memo</w:t>
      </w:r>
    </w:p>
    <w:p>
      <w:r>
        <w:t>Company: Sample (Pty) Ltd</w:t>
      </w:r>
    </w:p>
    <w:p>
      <w:r>
        <w:t>Review period end: 2025-06-29</w:t>
      </w:r>
    </w:p>
    <w:p>
      <w:r>
        <w:t>Version: 802b55d6-8499-424a-ad8f-85fcf124d550</w:t>
      </w:r>
    </w:p>
    <w:p/>
    <w:p>
      <w:r>
        <w:t>Internal rating: BBB</w:t>
      </w:r>
    </w:p>
    <w:p>
      <w:r>
        <w:t>Recommendation: Maintain</w:t>
      </w:r>
    </w:p>
    <w:p/>
    <w:p>
      <w:pPr>
        <w:pStyle w:val="Heading1"/>
      </w:pPr>
      <w:r>
        <w:t>Executive Summary</w:t>
      </w:r>
    </w:p>
    <w:p>
      <w:r>
        <w:t>This credit review covers Sample (Pty) Ltd for the period ending 2025-06-29.</w:t>
        <w:br/>
        <w:br/>
        <w:t>Internal rating: BBB. Recommendation: Maintain.</w:t>
        <w:br/>
        <w:br/>
        <w:t xml:space="preserve">  Business Risk: N/A (64.2/100)</w:t>
        <w:br/>
        <w:br/>
        <w:t xml:space="preserve">  Financial Performance: N/A (62.2/100)</w:t>
        <w:br/>
        <w:br/>
        <w:t xml:space="preserve">  Liquidity: N/A (49.0/100)</w:t>
        <w:br/>
        <w:br/>
        <w:t xml:space="preserve">  Leverage: N/A (22.5/100)</w:t>
        <w:br/>
        <w:br/>
        <w:t xml:space="preserve">  Accounting Quality: N/A (40.0/100)</w:t>
        <w:br/>
        <w:br/>
        <w:t>Revenue growth: 8.9% YoY.</w:t>
        <w:br/>
        <w:br/>
        <w:t>Net debt/EBITDA (incl. leases): 5.05x.</w:t>
        <w:br/>
        <w:br/>
        <w:t>Key risks and mitigants are set out in the sections below.</w:t>
      </w:r>
    </w:p>
    <w:p>
      <w:pPr>
        <w:pStyle w:val="Heading1"/>
      </w:pPr>
      <w:r>
        <w:t>Transaction Overview</w:t>
      </w:r>
    </w:p>
    <w:p>
      <w:r>
        <w:t>Transaction details to be completed by deal team.</w:t>
      </w:r>
    </w:p>
    <w:p>
      <w:pPr>
        <w:pStyle w:val="Heading1"/>
      </w:pPr>
      <w:r>
        <w:t>Business Description</w:t>
      </w:r>
    </w:p>
    <w:p>
      <w:r>
        <w:t>Business Risk Assessment (Score: 64.2/100, Rating: Adequate)</w:t>
        <w:br/>
        <w:t xml:space="preserve">  Revenue: 252,701.00</w:t>
        <w:br/>
        <w:t xml:space="preserve">  Revenue Growth Pct: 8.9</w:t>
        <w:br/>
        <w:t xml:space="preserve">  Ebitda Growth Pct: 19.2</w:t>
        <w:br/>
        <w:t xml:space="preserve">  Ebitda Margin Pct: 2.7</w:t>
        <w:br/>
        <w:t xml:space="preserve">  Margin Delta Bps: 24.0</w:t>
        <w:br/>
        <w:t xml:space="preserve">  Segment Count: 10</w:t>
        <w:br/>
        <w:t xml:space="preserve">  Geographic Regions: ['South Africa', 'Angola', 'Mozambique', 'Malawi']</w:t>
        <w:br/>
        <w:t xml:space="preserve">  Evidence: Operating segments (Note 2/26): 10 identified, Geographic exposure: South Africa, Angola, Mozambique, Malawi, Note 2: Operating segments, Note 26: Revenue, Note 43: Risk management</w:t>
        <w:br/>
        <w:t xml:space="preserve">  Business risk assessment: Adequate (score 64.2/100). Revenue growth 8.9% YoY.</w:t>
      </w:r>
    </w:p>
    <w:p>
      <w:pPr>
        <w:pStyle w:val="Heading1"/>
      </w:pPr>
      <w:r>
        <w:t>Industry Overview</w:t>
      </w:r>
    </w:p>
    <w:p>
      <w:r>
        <w:t>Industry context and outlook to be added.</w:t>
      </w:r>
    </w:p>
    <w:p>
      <w:pPr>
        <w:pStyle w:val="Heading1"/>
      </w:pPr>
      <w:r>
        <w:t>Competitive Position</w:t>
      </w:r>
    </w:p>
    <w:p>
      <w:r>
        <w:t>Competitive positioning analysis to be completed.</w:t>
      </w:r>
    </w:p>
    <w:p>
      <w:pPr>
        <w:pStyle w:val="Heading1"/>
      </w:pPr>
      <w:r>
        <w:t>Financial Performance</w:t>
      </w:r>
    </w:p>
    <w:p>
      <w:r>
        <w:t>3-Year Financial Summary:</w:t>
        <w:br/>
        <w:t>Period | Revenue | EBITDA | EBITDA % | Net Debt | ND/EBITDA | Interest Cover</w:t>
        <w:br/>
        <w:t>2025-06-30 | 252,701.00 | 6,931.00 | 2.7% | 35,033.00 | 5.05x | 2.92x</w:t>
        <w:br/>
        <w:t>2024-06-30 | 232,088.00 | 5,817.00 | 2.5% | 27,865.00 | 4.79x | 3.05x</w:t>
        <w:br/>
        <w:br/>
        <w:t>Financial Performance Analysis (Score: 62.2/100, Rating: Adequate)</w:t>
        <w:br/>
        <w:t xml:space="preserve">  Revenue: 252,701.00</w:t>
        <w:br/>
        <w:t xml:space="preserve">  Revenue Growth Pct: 8.9</w:t>
        <w:br/>
        <w:t xml:space="preserve">  Ebitda Growth Pct: 19.2</w:t>
        <w:br/>
        <w:t xml:space="preserve">  Pat Growth Pct: 21.9</w:t>
        <w:br/>
        <w:t xml:space="preserve">  Ebitda Margin Pct: 2.7</w:t>
        <w:br/>
        <w:t xml:space="preserve">  Operating Profit: 14,943.00</w:t>
        <w:br/>
        <w:t xml:space="preserve">  Profit After Tax: 7,583.00</w:t>
        <w:br/>
        <w:t xml:space="preserve">  Cfo To Ebitda: 1.58</w:t>
        <w:br/>
        <w:t xml:space="preserve">  Fcf Conversion: 2.5</w:t>
        <w:br/>
        <w:t xml:space="preserve">  Evidence: Note 27: Depreciation, Note 30: Operating expenses, Note 33: Finance costs, Note 34: Tax</w:t>
        <w:br/>
        <w:t xml:space="preserve">  Financial performance: Adequate. EBITDA margin 2.7%.</w:t>
      </w:r>
    </w:p>
    <w:p>
      <w:pPr>
        <w:pStyle w:val="Heading1"/>
      </w:pPr>
      <w:r>
        <w:t>Financial Risk</w:t>
      </w:r>
    </w:p>
    <w:p>
      <w:r>
        <w:t>A_revenue_minus_10pct: Interest cover 2.63x ND/EBITDA 5.62x</w:t>
        <w:br/>
        <w:t>B_interest_plus_200bps: Interest cover 2.90x</w:t>
        <w:br/>
        <w:t>C_working_capital_shock: Cash after shock: -15,324.10</w:t>
        <w:br/>
        <w:t>D_margin_compression_200bps: Interest cover 0.79x ND/EBITDA 18.66x</w:t>
        <w:br/>
        <w:t>E_combined: Interest cover 2.61x ND/EBITDA 5.62x</w:t>
      </w:r>
    </w:p>
    <w:p>
      <w:pPr>
        <w:pStyle w:val="Heading1"/>
      </w:pPr>
      <w:r>
        <w:t>Cash Flow Liquidity</w:t>
      </w:r>
    </w:p>
    <w:p>
      <w:r>
        <w:t>Cash Flow &amp; Liquidity (Score: 49.0/100, Rating: Weak)</w:t>
        <w:br/>
        <w:t xml:space="preserve">  Net Cfo: 10,984.00</w:t>
        <w:br/>
        <w:t xml:space="preserve">  Capex: -6,320.00</w:t>
        <w:br/>
        <w:t xml:space="preserve">  Fcf: 17,304.00</w:t>
        <w:br/>
        <w:t xml:space="preserve">  Current Ratio: 0.89</w:t>
        <w:br/>
        <w:t xml:space="preserve">  Quick Ratio: 0.23</w:t>
        <w:br/>
        <w:t xml:space="preserve">  Cash: 9,946.00</w:t>
        <w:br/>
        <w:t xml:space="preserve">  St Debt: 44,979.00</w:t>
        <w:br/>
        <w:t xml:space="preserve">  St Debt To Cash: 4.52</w:t>
        <w:br/>
        <w:t xml:space="preserve">  Lease Adjusted Liquidity: -33,170.00</w:t>
        <w:br/>
        <w:t xml:space="preserve">  Risk flags: Current ratio below 1.0x - Weak liquidity; ST debt/cash elevated</w:t>
        <w:br/>
        <w:t xml:space="preserve">  Evidence: Note 38: Cash flows, Note 21: Borrowings, Note 20: Lease liabilities, Note 48: Going concern</w:t>
        <w:br/>
        <w:t xml:space="preserve">  Liquidity: Weak. Current ratio 0.89x. Cash 9,946.</w:t>
      </w:r>
    </w:p>
    <w:p>
      <w:pPr>
        <w:pStyle w:val="Heading1"/>
      </w:pPr>
      <w:r>
        <w:t>Balance Sheet Leverage</w:t>
      </w:r>
    </w:p>
    <w:p>
      <w:r>
        <w:t>Leverage &amp; Capital Structure (Score: 22.5/100, Rating: Weak)</w:t>
        <w:br/>
        <w:t xml:space="preserve">  Net Debt Ex Leases: -8,083.00</w:t>
        <w:br/>
        <w:t xml:space="preserve">  Net Debt Incl Leases: 35,033.00</w:t>
        <w:br/>
        <w:t xml:space="preserve">  Gross Debt: 44,979.00</w:t>
        <w:br/>
        <w:t xml:space="preserve">  Debt To Capital: 0.8568</w:t>
        <w:br/>
        <w:t xml:space="preserve">  Net Debt To Ebitda Ex Leases: -1.17</w:t>
        <w:br/>
        <w:t xml:space="preserve">  Net Debt To Ebitda Incl Leases: 5.05</w:t>
        <w:br/>
        <w:t xml:space="preserve">  Ebitda To Interest: 1.34</w:t>
        <w:br/>
        <w:t xml:space="preserve">  Fixed Charge Cover: 0.73</w:t>
        <w:br/>
        <w:t xml:space="preserve">  Lease Adjusted Interest Cover: 0.73</w:t>
        <w:br/>
        <w:t xml:space="preserve">  Risk flags: High leverage (ND/EBITDA &gt; 4x); Interest cover below 2x</w:t>
        <w:br/>
        <w:t xml:space="preserve">  Evidence: Note 21: Borrowings, Note 20: Lease liabilities, Note 39: Contingent liabilities</w:t>
        <w:br/>
        <w:t xml:space="preserve">  Leverage: Weak. ND/EBITDA 5.05x. Interest cover 1.34x.</w:t>
      </w:r>
    </w:p>
    <w:p>
      <w:pPr>
        <w:pStyle w:val="Heading1"/>
      </w:pPr>
      <w:r>
        <w:t>Liquidity Leverage</w:t>
      </w:r>
    </w:p>
    <w:p>
      <w:r>
        <w:t>Cash Flow &amp; Liquidity (Score: 49.0/100, Rating: Weak)</w:t>
        <w:br/>
        <w:t xml:space="preserve">  Net Cfo: 10,984.00</w:t>
        <w:br/>
        <w:t xml:space="preserve">  Capex: -6,320.00</w:t>
        <w:br/>
        <w:t xml:space="preserve">  Fcf: 17,304.00</w:t>
        <w:br/>
        <w:t xml:space="preserve">  Current Ratio: 0.89</w:t>
        <w:br/>
        <w:t xml:space="preserve">  Quick Ratio: 0.23</w:t>
        <w:br/>
        <w:t xml:space="preserve">  Cash: 9,946.00</w:t>
        <w:br/>
        <w:t xml:space="preserve">  St Debt: 44,979.00</w:t>
        <w:br/>
        <w:t xml:space="preserve">  St Debt To Cash: 4.52</w:t>
        <w:br/>
        <w:t xml:space="preserve">  Lease Adjusted Liquidity: -33,170.00</w:t>
        <w:br/>
        <w:t xml:space="preserve">  Risk flags: Current ratio below 1.0x - Weak liquidity; ST debt/cash elevated</w:t>
        <w:br/>
        <w:t xml:space="preserve">  Evidence: Note 38: Cash flows, Note 21: Borrowings, Note 20: Lease liabilities, Note 48: Going concern</w:t>
        <w:br/>
        <w:t xml:space="preserve">  Liquidity: Weak. Current ratio 0.89x. Cash 9,946.</w:t>
        <w:br/>
        <w:br/>
        <w:t>Leverage &amp; Capital Structure (Score: 22.5/100, Rating: Weak)</w:t>
        <w:br/>
        <w:t xml:space="preserve">  Net Debt Ex Leases: -8,083.00</w:t>
        <w:br/>
        <w:t xml:space="preserve">  Net Debt Incl Leases: 35,033.00</w:t>
        <w:br/>
        <w:t xml:space="preserve">  Gross Debt: 44,979.00</w:t>
        <w:br/>
        <w:t xml:space="preserve">  Debt To Capital: 0.8568</w:t>
        <w:br/>
        <w:t xml:space="preserve">  Net Debt To Ebitda Ex Leases: -1.17</w:t>
        <w:br/>
        <w:t xml:space="preserve">  Net Debt To Ebitda Incl Leases: 5.05</w:t>
        <w:br/>
        <w:t xml:space="preserve">  Ebitda To Interest: 1.34</w:t>
        <w:br/>
        <w:t xml:space="preserve">  Fixed Charge Cover: 0.73</w:t>
        <w:br/>
        <w:t xml:space="preserve">  Lease Adjusted Interest Cover: 0.73</w:t>
        <w:br/>
        <w:t xml:space="preserve">  Risk flags: High leverage (ND/EBITDA &gt; 4x); Interest cover below 2x</w:t>
        <w:br/>
        <w:t xml:space="preserve">  Evidence: Note 21: Borrowings, Note 20: Lease liabilities, Note 39: Contingent liabilities</w:t>
        <w:br/>
        <w:t xml:space="preserve">  Leverage: Weak. ND/EBITDA 5.05x. Interest cover 1.34x.</w:t>
      </w:r>
    </w:p>
    <w:p>
      <w:pPr>
        <w:pStyle w:val="Heading1"/>
      </w:pPr>
      <w:r>
        <w:t>Stress Testing Results</w:t>
      </w:r>
    </w:p>
    <w:p>
      <w:r>
        <w:t>A_revenue_minus_10pct: Interest cover 2.63x ND/EBITDA 5.62x</w:t>
        <w:br/>
        <w:t>B_interest_plus_200bps: Interest cover 2.90x</w:t>
        <w:br/>
        <w:t>C_working_capital_shock: Cash after shock: -15,324.10</w:t>
        <w:br/>
        <w:t>D_margin_compression_200bps: Interest cover 0.79x ND/EBITDA 18.66x</w:t>
        <w:br/>
        <w:t>E_combined: Interest cover 2.61x ND/EBITDA 5.62x</w:t>
      </w:r>
    </w:p>
    <w:p>
      <w:pPr>
        <w:pStyle w:val="Heading1"/>
      </w:pPr>
      <w:r>
        <w:t>Accounting Disclosure Quality</w:t>
      </w:r>
    </w:p>
    <w:p>
      <w:r>
        <w:t>Accounting &amp; Disclosure Quality (Score: 40.0/100, Rating: Weak)</w:t>
        <w:br/>
        <w:t xml:space="preserve">  Deterministic Score: 40.0</w:t>
        <w:br/>
        <w:t xml:space="preserve">  Risk flags: Significant judgement (Note 1): -10; Impairment sensitivity disclosed: -10; Going concern uncertainty: -20</w:t>
        <w:br/>
        <w:t xml:space="preserve">  Evidence: Note 1: Significant judgement, Note 8: Impairment, Note 14: Deferred tax, Note 43: Financial instruments</w:t>
        <w:br/>
        <w:t xml:space="preserve">  Accounting quality: Weak. 0 accounting risk areas identified.</w:t>
      </w:r>
    </w:p>
    <w:p>
      <w:pPr>
        <w:pStyle w:val="Heading1"/>
      </w:pPr>
      <w:r>
        <w:t>Key Notes Accounting</w:t>
      </w:r>
    </w:p>
    <w:p>
      <w:r>
        <w:t>Accounting &amp; Disclosure Quality (Score: 40.0/100, Rating: Weak)</w:t>
        <w:br/>
        <w:t xml:space="preserve">  Deterministic Score: 40.0</w:t>
        <w:br/>
        <w:t xml:space="preserve">  Risk flags: Significant judgement (Note 1): -10; Impairment sensitivity disclosed: -10; Going concern uncertainty: -20</w:t>
        <w:br/>
        <w:t xml:space="preserve">  Evidence: Note 1: Significant judgement, Note 8: Impairment, Note 14: Deferred tax, Note 43: Financial instruments</w:t>
        <w:br/>
        <w:t xml:space="preserve">  Accounting quality: Weak. 0 accounting risk areas identified.</w:t>
      </w:r>
    </w:p>
    <w:p>
      <w:pPr>
        <w:pStyle w:val="Heading1"/>
      </w:pPr>
      <w:r>
        <w:t>Key Risks</w:t>
      </w:r>
    </w:p>
    <w:p>
      <w:r>
        <w:t>Significant judgement (Note 1): -10; Impairment sensitivity disclosed: -10; Going concern uncertainty: -20; A_revenue_minus_10pct: ND/EBITDA above 3x; C_working_capital_shock: Cash negative after shock; D_margin_compression_200bps: Interest cover below 2x</w:t>
      </w:r>
    </w:p>
    <w:p>
      <w:pPr>
        <w:pStyle w:val="Heading1"/>
      </w:pPr>
      <w:r>
        <w:t>Covenants Headroom</w:t>
      </w:r>
    </w:p>
    <w:p>
      <w:r>
        <w:t>Covenants &amp; Headroom (Score: 15/100, Rating: Weak)</w:t>
        <w:br/>
        <w:t xml:space="preserve">  Covenant Leverage Max: 2.75</w:t>
        <w:br/>
        <w:t xml:space="preserve">  Covenant Interest Cover Min: 3.5</w:t>
        <w:br/>
        <w:t xml:space="preserve">  Current Nd Ebitda: 5.05</w:t>
        <w:br/>
        <w:t xml:space="preserve">  Current Interest Cover: 1.34</w:t>
        <w:br/>
        <w:t xml:space="preserve">  Undrawn Facilities: 11.6</w:t>
        <w:br/>
        <w:t xml:space="preserve">  Leverage Breach: True</w:t>
        <w:br/>
        <w:t xml:space="preserve">  Leverage Breach Distance: 2.3</w:t>
        <w:br/>
        <w:t xml:space="preserve">  Interest Cover Breach: True</w:t>
        <w:br/>
        <w:t xml:space="preserve">  Interest Cover Breach Distance: 2.16</w:t>
        <w:br/>
        <w:t xml:space="preserve">  Risk flags: Covenant breach: ND/EBITDA at or above limit; Covenant breach: Interest cover below minimum</w:t>
        <w:br/>
        <w:t xml:space="preserve">  Evidence: Note 48: Going concern, Note 43.4.3: Covenant terms</w:t>
        <w:br/>
        <w:t xml:space="preserve">  Covenant headroom: Weak. See Note 48 and 43.4.3.</w:t>
      </w:r>
    </w:p>
    <w:p>
      <w:pPr>
        <w:pStyle w:val="Heading1"/>
      </w:pPr>
      <w:r>
        <w:t>Security Collateral</w:t>
      </w:r>
    </w:p>
    <w:p>
      <w:r>
        <w:t>Security and collateral details to be documented.</w:t>
      </w:r>
    </w:p>
    <w:p>
      <w:pPr>
        <w:pStyle w:val="Heading1"/>
      </w:pPr>
      <w:r>
        <w:t>Internal Rating Rationale</w:t>
      </w:r>
    </w:p>
    <w:p>
      <w:r>
        <w:t>Internal rating: BBB. Aggregate score: 49.9/100. Business Risk: . Financial Performance: . Liquidity: . Leverage: . Accounting Quality: .  Governance rules applied: Leverage score &lt;30 cap BB; Interest cover &lt;1.5x cap B+; Stress ND&gt;6x downgrade 1 notch.</w:t>
      </w:r>
    </w:p>
    <w:p>
      <w:pPr>
        <w:pStyle w:val="Heading1"/>
      </w:pPr>
      <w:r>
        <w:t>Recommendation Conditions</w:t>
      </w:r>
    </w:p>
    <w:p>
      <w:r>
        <w:t>Conditions to be specified based on facility terms.</w:t>
      </w:r>
    </w:p>
    <w:p>
      <w:pPr>
        <w:pStyle w:val="Heading1"/>
      </w:pPr>
      <w:r>
        <w:t>Monitoring Plan</w:t>
      </w:r>
    </w:p>
    <w:p>
      <w:r>
        <w:t>Covenant breach: Monitor quarterly covenant compliance; early engagement with lenders.</w:t>
        <w:br/>
        <w:t>Leverage: ND/EBITDA at 5.05x; monitor debt reduction and EBITDA growth.</w:t>
        <w:br/>
        <w:t>Liquidity: Current ratio 0.89x; monitor cash and undrawn facilities.</w:t>
      </w:r>
    </w:p>
    <w:p>
      <w:pPr>
        <w:pStyle w:val="Heading1"/>
      </w:pPr>
      <w:r>
        <w:t>Appendices</w:t>
      </w:r>
    </w:p>
    <w:p>
      <w:r>
        <w:t>Supporting schedules and exhibits.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