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rFonts w:ascii="Calibri" w:hAnsi="Calibri"/>
          <w:b/>
          <w:color w:val="0A2540"/>
          <w:sz w:val="32"/>
        </w:rPr>
        <w:t>H&amp;C GROUP</w:t>
      </w:r>
    </w:p>
    <w:p>
      <w:pPr>
        <w:jc w:val="center"/>
      </w:pPr>
      <w:r>
        <w:rPr>
          <w:rFonts w:ascii="Calibri" w:hAnsi="Calibri"/>
          <w:i/>
          <w:color w:val="C9A961"/>
          <w:sz w:val="22"/>
        </w:rPr>
        <w:t>Business Solutions Holding</w:t>
      </w:r>
    </w:p>
    <w:p/>
    <w:p/>
    <w:p/>
    <w:p/>
    <w:p>
      <w:pPr>
        <w:jc w:val="center"/>
      </w:pPr>
      <w:r>
        <w:rPr>
          <w:rFonts w:ascii="Calibri" w:hAnsi="Calibri"/>
          <w:b/>
          <w:color w:val="0A2540"/>
          <w:sz w:val="28"/>
        </w:rPr>
        <w:t>DOCUMENT DE SPÉCIFICATIONS</w:t>
      </w:r>
    </w:p>
    <w:p>
      <w:pPr>
        <w:spacing w:after="240"/>
        <w:jc w:val="center"/>
      </w:pPr>
      <w:r>
        <w:rPr>
          <w:rFonts w:ascii="Calibri" w:hAnsi="Calibri"/>
          <w:b/>
          <w:color w:val="0A2540"/>
          <w:sz w:val="44"/>
        </w:rPr>
        <w:t>Outil de Modélisation Financière Multisectoriel</w:t>
      </w:r>
    </w:p>
    <w:p>
      <w:pPr>
        <w:jc w:val="center"/>
      </w:pPr>
      <w:r>
        <w:rPr>
          <w:rFonts w:ascii="Calibri" w:hAnsi="Calibri"/>
          <w:i/>
          <w:color w:val="595959"/>
          <w:sz w:val="24"/>
        </w:rPr>
        <w:t>Spécifications fonctionnelles et techniques</w:t>
      </w:r>
    </w:p>
    <w:p/>
    <w:p/>
    <w:p/>
    <w:p/>
    <w:p>
      <w:pPr>
        <w:jc w:val="center"/>
      </w:pPr>
      <w:r>
        <w:rPr>
          <w:rFonts w:ascii="Calibri" w:hAnsi="Calibri"/>
          <w:color w:val="0A2540"/>
          <w:sz w:val="22"/>
        </w:rPr>
        <w:t>Cible : équipes de développement &amp; direction métier</w:t>
      </w:r>
    </w:p>
    <w:p>
      <w:pPr>
        <w:jc w:val="center"/>
      </w:pPr>
      <w:r>
        <w:rPr>
          <w:rFonts w:ascii="Calibri" w:hAnsi="Calibri"/>
          <w:color w:val="0A2540"/>
          <w:sz w:val="22"/>
        </w:rPr>
        <w:t>Périmètre : 8 secteurs — Zone UEMOA / CEMAC / International</w:t>
      </w:r>
    </w:p>
    <w:p>
      <w:pPr>
        <w:jc w:val="center"/>
      </w:pPr>
      <w:r>
        <w:rPr>
          <w:rFonts w:ascii="Calibri" w:hAnsi="Calibri"/>
          <w:color w:val="0A2540"/>
          <w:sz w:val="22"/>
        </w:rPr>
        <w:t>Normes : SYSCOHADA Révisé, IFRS, CIMA, Bâle III, Solvabilité</w:t>
      </w:r>
    </w:p>
    <w:p/>
    <w:p/>
    <w:p/>
    <w:p/>
    <w:p/>
    <w:p/>
    <w:p>
      <w:pPr>
        <w:jc w:val="center"/>
      </w:pPr>
      <w:r>
        <w:rPr>
          <w:rFonts w:ascii="Calibri" w:hAnsi="Calibri"/>
          <w:i/>
          <w:color w:val="595959"/>
          <w:sz w:val="20"/>
        </w:rPr>
        <w:t>Version 1.0 — Mai 2026</w:t>
      </w:r>
    </w:p>
    <w:p>
      <w:r>
        <w:br w:type="page"/>
      </w:r>
    </w:p>
    <w:p>
      <w:pPr>
        <w:spacing w:after="240"/>
      </w:pPr>
      <w:r>
        <w:rPr>
          <w:rFonts w:ascii="Calibri" w:hAnsi="Calibri"/>
          <w:b/>
          <w:color w:val="0A2540"/>
          <w:sz w:val="40"/>
        </w:rPr>
        <w:t>Sommaire</w:t>
      </w:r>
    </w:p>
    <w:p>
      <w:pPr>
        <w:spacing w:after="60"/>
      </w:pPr>
      <w:r>
        <w:rPr>
          <w:rFonts w:ascii="Calibri" w:hAnsi="Calibri"/>
          <w:b/>
          <w:color w:val="0A2540"/>
          <w:sz w:val="22"/>
        </w:rPr>
        <w:t>1. Vision &amp; cadre conceptuel</w:t>
      </w:r>
    </w:p>
    <w:p>
      <w:pPr>
        <w:spacing w:after="60"/>
      </w:pPr>
      <w:r>
        <w:rPr>
          <w:rFonts w:ascii="Calibri" w:hAnsi="Calibri"/>
          <w:b/>
          <w:color w:val="0A2540"/>
          <w:sz w:val="22"/>
        </w:rPr>
        <w:t>2. Cadre méthodologique transverse</w:t>
      </w:r>
    </w:p>
    <w:p>
      <w:pPr>
        <w:spacing w:after="60"/>
      </w:pPr>
      <w:r>
        <w:rPr>
          <w:rFonts w:ascii="Calibri" w:hAnsi="Calibri"/>
          <w:b/>
          <w:color w:val="0A2540"/>
          <w:sz w:val="22"/>
        </w:rPr>
        <w:t>3. Référentiel des critères de modélisation universels</w:t>
      </w:r>
    </w:p>
    <w:p>
      <w:pPr>
        <w:spacing w:after="60"/>
      </w:pPr>
      <w:r>
        <w:rPr>
          <w:rFonts w:ascii="Calibri" w:hAnsi="Calibri"/>
          <w:b/>
          <w:color w:val="0A2540"/>
          <w:sz w:val="22"/>
        </w:rPr>
        <w:t>4. Référentiels normatifs et fiscaux par zone</w:t>
      </w:r>
    </w:p>
    <w:p>
      <w:pPr>
        <w:spacing w:after="60"/>
      </w:pPr>
      <w:r>
        <w:rPr>
          <w:rFonts w:ascii="Calibri" w:hAnsi="Calibri"/>
          <w:b/>
          <w:color w:val="0A2540"/>
          <w:sz w:val="22"/>
        </w:rPr>
        <w:t>5. Spécifications par secteur</w:t>
      </w:r>
    </w:p>
    <w:p>
      <w:pPr>
        <w:spacing w:after="60"/>
      </w:pPr>
      <w:r>
        <w:rPr>
          <w:rFonts w:ascii="Calibri" w:hAnsi="Calibri"/>
          <w:sz w:val="22"/>
        </w:rPr>
        <w:t xml:space="preserve">    5.1 BTP — Bâtiments, Travaux Publics, Génie Civil</w:t>
      </w:r>
    </w:p>
    <w:p>
      <w:pPr>
        <w:spacing w:after="60"/>
      </w:pPr>
      <w:r>
        <w:rPr>
          <w:rFonts w:ascii="Calibri" w:hAnsi="Calibri"/>
          <w:sz w:val="22"/>
        </w:rPr>
        <w:t xml:space="preserve">    5.2 Banque (IFRS et SYSCOHADA bancaire)</w:t>
      </w:r>
    </w:p>
    <w:p>
      <w:pPr>
        <w:spacing w:after="60"/>
      </w:pPr>
      <w:r>
        <w:rPr>
          <w:rFonts w:ascii="Calibri" w:hAnsi="Calibri"/>
          <w:sz w:val="22"/>
        </w:rPr>
        <w:t xml:space="preserve">    5.3 Assurance Zone CIMA (Vie et Non-Vie)</w:t>
      </w:r>
    </w:p>
    <w:p>
      <w:pPr>
        <w:spacing w:after="60"/>
      </w:pPr>
      <w:r>
        <w:rPr>
          <w:rFonts w:ascii="Calibri" w:hAnsi="Calibri"/>
          <w:sz w:val="22"/>
        </w:rPr>
        <w:t xml:space="preserve">    5.4 Achats-Vente, Commerce et Distribution</w:t>
      </w:r>
    </w:p>
    <w:p>
      <w:pPr>
        <w:spacing w:after="60"/>
      </w:pPr>
      <w:r>
        <w:rPr>
          <w:rFonts w:ascii="Calibri" w:hAnsi="Calibri"/>
          <w:sz w:val="22"/>
        </w:rPr>
        <w:t xml:space="preserve">    5.5 Industrie et Manufacture</w:t>
      </w:r>
    </w:p>
    <w:p>
      <w:pPr>
        <w:spacing w:after="60"/>
      </w:pPr>
      <w:r>
        <w:rPr>
          <w:rFonts w:ascii="Calibri" w:hAnsi="Calibri"/>
          <w:sz w:val="22"/>
        </w:rPr>
        <w:t xml:space="preserve">    5.6 Fintech et services financiers numériques</w:t>
      </w:r>
    </w:p>
    <w:p>
      <w:pPr>
        <w:spacing w:after="60"/>
      </w:pPr>
      <w:r>
        <w:rPr>
          <w:rFonts w:ascii="Calibri" w:hAnsi="Calibri"/>
          <w:sz w:val="22"/>
        </w:rPr>
        <w:t xml:space="preserve">    5.7 Entreprises de services (conseil, ingénierie, B2B)</w:t>
      </w:r>
    </w:p>
    <w:p>
      <w:pPr>
        <w:spacing w:after="60"/>
      </w:pPr>
      <w:r>
        <w:rPr>
          <w:rFonts w:ascii="Calibri" w:hAnsi="Calibri"/>
          <w:sz w:val="22"/>
        </w:rPr>
        <w:t xml:space="preserve">    5.8 Hôpitaux et établissements de santé</w:t>
      </w:r>
    </w:p>
    <w:p>
      <w:pPr>
        <w:spacing w:after="60"/>
      </w:pPr>
      <w:r>
        <w:rPr>
          <w:rFonts w:ascii="Calibri" w:hAnsi="Calibri"/>
          <w:sz w:val="22"/>
        </w:rPr>
        <w:t xml:space="preserve">    5.9 ONG et organisations à but non lucratif</w:t>
      </w:r>
    </w:p>
    <w:p>
      <w:pPr>
        <w:spacing w:after="60"/>
      </w:pPr>
      <w:r>
        <w:rPr>
          <w:rFonts w:ascii="Calibri" w:hAnsi="Calibri"/>
          <w:b/>
          <w:color w:val="0A2540"/>
          <w:sz w:val="22"/>
        </w:rPr>
        <w:t>6. Architecture technique cible de l'outil</w:t>
      </w:r>
    </w:p>
    <w:p>
      <w:pPr>
        <w:spacing w:after="60"/>
      </w:pPr>
      <w:r>
        <w:rPr>
          <w:rFonts w:ascii="Calibri" w:hAnsi="Calibri"/>
          <w:b/>
          <w:color w:val="0A2540"/>
          <w:sz w:val="22"/>
        </w:rPr>
        <w:t>7. Roadmap de développement</w:t>
      </w:r>
    </w:p>
    <w:p>
      <w:pPr>
        <w:spacing w:after="60"/>
      </w:pPr>
      <w:r>
        <w:rPr>
          <w:rFonts w:ascii="Calibri" w:hAnsi="Calibri"/>
          <w:b/>
          <w:color w:val="0A2540"/>
          <w:sz w:val="22"/>
        </w:rPr>
        <w:t>8. Annexes — Glossaire et sources réglementaires</w:t>
      </w:r>
    </w:p>
    <w:p>
      <w:r>
        <w:br w:type="page"/>
      </w:r>
    </w:p>
    <w:p>
      <w:pPr>
        <w:pStyle w:val="Heading1"/>
        <w:spacing w:before="240" w:after="120"/>
      </w:pPr>
      <w:r>
        <w:rPr>
          <w:rFonts w:ascii="Calibri" w:hAnsi="Calibri"/>
          <w:b/>
          <w:color w:val="0A2540"/>
          <w:sz w:val="36"/>
        </w:rPr>
        <w:t>1. Vision &amp; cadre conceptuel</w:t>
      </w:r>
    </w:p>
    <w:p>
      <w:pPr>
        <w:pStyle w:val="Heading2"/>
        <w:spacing w:before="240" w:after="120"/>
      </w:pPr>
      <w:r>
        <w:rPr>
          <w:rFonts w:ascii="Calibri" w:hAnsi="Calibri"/>
          <w:b/>
          <w:color w:val="0A2540"/>
          <w:sz w:val="30"/>
        </w:rPr>
        <w:t>1.1 Objectif stratégique</w:t>
      </w:r>
    </w:p>
    <w:p>
      <w:pPr>
        <w:spacing w:before="0" w:after="120"/>
        <w:jc w:val="both"/>
      </w:pPr>
      <w:r>
        <w:rPr>
          <w:rFonts w:ascii="Calibri" w:hAnsi="Calibri"/>
          <w:b w:val="0"/>
          <w:i w:val="0"/>
          <w:color w:val="000000"/>
          <w:sz w:val="22"/>
        </w:rPr>
        <w:t>L'outil de modélisation financière multisectoriel a pour ambition de devenir la plateforme de référence permettant aux dirigeants, directions financières, banques, investisseurs, consultants et auditeurs de la zone francophone (UEMOA, CEMAC) et au-delà, de construire, comparer, stresser et publier des modèles financiers structurés selon les meilleures pratiques sectorielles.</w:t>
      </w:r>
    </w:p>
    <w:p>
      <w:pPr>
        <w:spacing w:before="0" w:after="120"/>
        <w:jc w:val="both"/>
      </w:pPr>
      <w:r>
        <w:rPr>
          <w:rFonts w:ascii="Calibri" w:hAnsi="Calibri"/>
          <w:b w:val="0"/>
          <w:i w:val="0"/>
          <w:color w:val="000000"/>
          <w:sz w:val="22"/>
        </w:rPr>
        <w:t>À la différence d'un tableur générique (Excel) ou d'un outil de Corporate FP&amp;A (Anaplan, Cube, Workday Adaptive), cet outil intègre nativement les spécificités métiers, fiscales et réglementaires de chaque secteur. Une banque ne se modélise pas comme une fintech, et une compagnie d'assurance CIMA obéit à un cadre prudentiel distinct de celui d'un assureur européen. L'outil rend ces différences explicites et les opérationnalise dans des templates configurables.</w:t>
      </w:r>
    </w:p>
    <w:p>
      <w:pPr>
        <w:pStyle w:val="Heading2"/>
        <w:spacing w:before="240" w:after="120"/>
      </w:pPr>
      <w:r>
        <w:rPr>
          <w:rFonts w:ascii="Calibri" w:hAnsi="Calibri"/>
          <w:b/>
          <w:color w:val="0A2540"/>
          <w:sz w:val="30"/>
        </w:rPr>
        <w:t>1.2 Principes directeurs</w:t>
      </w:r>
    </w:p>
    <w:p>
      <w:pPr>
        <w:pStyle w:val="ListBullet"/>
        <w:spacing w:after="60"/>
        <w:ind w:left="340"/>
      </w:pPr>
      <w:r>
        <w:rPr>
          <w:rFonts w:ascii="Calibri" w:hAnsi="Calibri"/>
          <w:sz w:val="22"/>
        </w:rPr>
        <w:t>Universalité du moteur de calcul, spécialisation des templates : un seul moteur de calcul (flux comptables, fiscaux, financiers) commun à tous les secteurs ; les templates sectoriels apportent la spécificité métier.</w:t>
      </w:r>
    </w:p>
    <w:p>
      <w:pPr>
        <w:pStyle w:val="ListBullet"/>
        <w:spacing w:after="60"/>
        <w:ind w:left="340"/>
      </w:pPr>
      <w:r>
        <w:rPr>
          <w:rFonts w:ascii="Calibri" w:hAnsi="Calibri"/>
          <w:sz w:val="22"/>
        </w:rPr>
        <w:t>Paramétrabilité poussée : toutes les hypothèses sont des inputs modifiables. L'outil ne contient aucune valeur métier hardcodée.</w:t>
      </w:r>
    </w:p>
    <w:p>
      <w:pPr>
        <w:pStyle w:val="ListBullet"/>
        <w:spacing w:after="60"/>
        <w:ind w:left="340"/>
      </w:pPr>
      <w:r>
        <w:rPr>
          <w:rFonts w:ascii="Calibri" w:hAnsi="Calibri"/>
          <w:sz w:val="22"/>
        </w:rPr>
        <w:t>Conformité normative active : les normes comptables (SYSCOHADA, IFRS) et réglementaires (CIMA, Bâle, Solvabilité) sont intégrées comme contraintes vérifiables. L'outil signale les écarts.</w:t>
      </w:r>
    </w:p>
    <w:p>
      <w:pPr>
        <w:pStyle w:val="ListBullet"/>
        <w:spacing w:after="60"/>
        <w:ind w:left="340"/>
      </w:pPr>
      <w:r>
        <w:rPr>
          <w:rFonts w:ascii="Calibri" w:hAnsi="Calibri"/>
          <w:sz w:val="22"/>
        </w:rPr>
        <w:t>Traçabilité totale : chaque cellule de chaque output (P&amp;L, bilan, trésorerie, KPI) doit être traçable jusqu'à ses inputs sources via le data lineage.</w:t>
      </w:r>
    </w:p>
    <w:p>
      <w:pPr>
        <w:pStyle w:val="ListBullet"/>
        <w:spacing w:after="60"/>
        <w:ind w:left="340"/>
      </w:pPr>
      <w:r>
        <w:rPr>
          <w:rFonts w:ascii="Calibri" w:hAnsi="Calibri"/>
          <w:sz w:val="22"/>
        </w:rPr>
        <w:t>Multi-scénario natif : tout modèle existe en au moins trois scénarios (pessimiste, base, optimiste). Les comparaisons sont systématiques.</w:t>
      </w:r>
    </w:p>
    <w:p>
      <w:pPr>
        <w:pStyle w:val="ListBullet"/>
        <w:spacing w:after="60"/>
        <w:ind w:left="340"/>
      </w:pPr>
      <w:r>
        <w:rPr>
          <w:rFonts w:ascii="Calibri" w:hAnsi="Calibri"/>
          <w:sz w:val="22"/>
        </w:rPr>
        <w:t>Multi-devise et multi-norme : un même modèle peut être présenté en FCFA, EUR, USD et selon SYSCOHADA ou IFRS, sans ressaisie.</w:t>
      </w:r>
    </w:p>
    <w:p>
      <w:pPr>
        <w:pStyle w:val="ListBullet"/>
        <w:spacing w:after="60"/>
        <w:ind w:left="340"/>
      </w:pPr>
      <w:r>
        <w:rPr>
          <w:rFonts w:ascii="Calibri" w:hAnsi="Calibri"/>
          <w:sz w:val="22"/>
        </w:rPr>
        <w:t>Auditabilité : journal d'audit de toutes les modifications d'hypothèses, versioning des modèles, signature numérique des publications.</w:t>
      </w:r>
    </w:p>
    <w:p>
      <w:pPr>
        <w:pStyle w:val="Heading2"/>
        <w:spacing w:before="240" w:after="120"/>
      </w:pPr>
      <w:r>
        <w:rPr>
          <w:rFonts w:ascii="Calibri" w:hAnsi="Calibri"/>
          <w:b/>
          <w:color w:val="0A2540"/>
          <w:sz w:val="30"/>
        </w:rPr>
        <w:t>1.3 Personae utilisateurs</w:t>
      </w:r>
    </w:p>
    <w:tbl>
      <w:tblPr>
        <w:tblW w:type="auto" w:w="0"/>
        <w:jc w:val="center"/>
        <w:tblLayout w:type="fixed"/>
        <w:tblLook w:firstColumn="1" w:firstRow="1" w:lastColumn="0" w:lastRow="0" w:noHBand="0" w:noVBand="1" w:val="04A0"/>
      </w:tblPr>
      <w:tblGrid>
        <w:gridCol w:w="2351"/>
        <w:gridCol w:w="2351"/>
        <w:gridCol w:w="2351"/>
        <w:gridCol w:w="2351"/>
      </w:tblGrid>
      <w:tr>
        <w:tc>
          <w:tcPr>
            <w:tcW w:type="dxa" w:w="1984"/>
            <w:shd w:val="clear" w:color="auto" w:fill="0A2540"/>
            <w:tcBorders>
              <w:top w:val="single" w:sz="4" w:color="BFBFBF"/>
              <w:left w:val="single" w:sz="4" w:color="BFBFBF"/>
              <w:bottom w:val="single" w:sz="4" w:color="BFBFBF"/>
              <w:right w:val="single" w:sz="4" w:color="BFBFBF"/>
            </w:tcBorders>
            <w:vAlign w:val="center"/>
          </w:tcPr>
          <w:p>
            <w:pPr>
              <w:jc w:val="center"/>
            </w:pPr>
            <w:r>
              <w:rPr>
                <w:rFonts w:ascii="Calibri" w:hAnsi="Calibri"/>
                <w:b/>
                <w:color w:val="FFFFFF"/>
                <w:sz w:val="20"/>
              </w:rPr>
              <w:t>Persona</w:t>
            </w:r>
          </w:p>
        </w:tc>
        <w:tc>
          <w:tcPr>
            <w:tcW w:type="dxa" w:w="2551"/>
            <w:shd w:val="clear" w:color="auto" w:fill="0A2540"/>
            <w:tcBorders>
              <w:top w:val="single" w:sz="4" w:color="BFBFBF"/>
              <w:left w:val="single" w:sz="4" w:color="BFBFBF"/>
              <w:bottom w:val="single" w:sz="4" w:color="BFBFBF"/>
              <w:right w:val="single" w:sz="4" w:color="BFBFBF"/>
            </w:tcBorders>
            <w:vAlign w:val="center"/>
          </w:tcPr>
          <w:p>
            <w:pPr>
              <w:jc w:val="center"/>
            </w:pPr>
            <w:r>
              <w:rPr>
                <w:rFonts w:ascii="Calibri" w:hAnsi="Calibri"/>
                <w:b/>
                <w:color w:val="FFFFFF"/>
                <w:sz w:val="20"/>
              </w:rPr>
              <w:t>Profil</w:t>
            </w:r>
          </w:p>
        </w:tc>
        <w:tc>
          <w:tcPr>
            <w:tcW w:type="dxa" w:w="3685"/>
            <w:shd w:val="clear" w:color="auto" w:fill="0A2540"/>
            <w:tcBorders>
              <w:top w:val="single" w:sz="4" w:color="BFBFBF"/>
              <w:left w:val="single" w:sz="4" w:color="BFBFBF"/>
              <w:bottom w:val="single" w:sz="4" w:color="BFBFBF"/>
              <w:right w:val="single" w:sz="4" w:color="BFBFBF"/>
            </w:tcBorders>
            <w:vAlign w:val="center"/>
          </w:tcPr>
          <w:p>
            <w:pPr>
              <w:jc w:val="center"/>
            </w:pPr>
            <w:r>
              <w:rPr>
                <w:rFonts w:ascii="Calibri" w:hAnsi="Calibri"/>
                <w:b/>
                <w:color w:val="FFFFFF"/>
                <w:sz w:val="20"/>
              </w:rPr>
              <w:t>Cas d'usage principaux</w:t>
            </w:r>
          </w:p>
        </w:tc>
        <w:tc>
          <w:tcPr>
            <w:tcW w:type="dxa" w:w="1417"/>
            <w:shd w:val="clear" w:color="auto" w:fill="0A2540"/>
            <w:tcBorders>
              <w:top w:val="single" w:sz="4" w:color="BFBFBF"/>
              <w:left w:val="single" w:sz="4" w:color="BFBFBF"/>
              <w:bottom w:val="single" w:sz="4" w:color="BFBFBF"/>
              <w:right w:val="single" w:sz="4" w:color="BFBFBF"/>
            </w:tcBorders>
            <w:vAlign w:val="center"/>
          </w:tcPr>
          <w:p>
            <w:pPr>
              <w:jc w:val="center"/>
            </w:pPr>
            <w:r>
              <w:rPr>
                <w:rFonts w:ascii="Calibri" w:hAnsi="Calibri"/>
                <w:b/>
                <w:color w:val="FFFFFF"/>
                <w:sz w:val="20"/>
              </w:rPr>
              <w:t>Complexité</w:t>
            </w:r>
          </w:p>
        </w:tc>
      </w:tr>
      <w:tr>
        <w:tc>
          <w:tcPr>
            <w:tcW w:type="dxa" w:w="1984"/>
            <w:tcBorders>
              <w:top w:val="single" w:sz="4" w:color="BFBFBF"/>
              <w:left w:val="single" w:sz="4" w:color="BFBFBF"/>
              <w:bottom w:val="single" w:sz="4" w:color="BFBFBF"/>
              <w:right w:val="single" w:sz="4" w:color="BFBFBF"/>
            </w:tcBorders>
            <w:vAlign w:val="center"/>
          </w:tcPr>
          <w:p>
            <w:r>
              <w:rPr>
                <w:rFonts w:ascii="Calibri" w:hAnsi="Calibri"/>
                <w:sz w:val="20"/>
              </w:rPr>
              <w:t>Dirigeant / CEO</w:t>
            </w:r>
          </w:p>
        </w:tc>
        <w:tc>
          <w:tcPr>
            <w:tcW w:type="dxa" w:w="2551"/>
            <w:tcBorders>
              <w:top w:val="single" w:sz="4" w:color="BFBFBF"/>
              <w:left w:val="single" w:sz="4" w:color="BFBFBF"/>
              <w:bottom w:val="single" w:sz="4" w:color="BFBFBF"/>
              <w:right w:val="single" w:sz="4" w:color="BFBFBF"/>
            </w:tcBorders>
            <w:vAlign w:val="center"/>
          </w:tcPr>
          <w:p>
            <w:r>
              <w:rPr>
                <w:rFonts w:ascii="Calibri" w:hAnsi="Calibri"/>
                <w:sz w:val="20"/>
              </w:rPr>
              <w:t>Décideur, non-expert financier</w:t>
            </w:r>
          </w:p>
        </w:tc>
        <w:tc>
          <w:tcPr>
            <w:tcW w:type="dxa" w:w="3685"/>
            <w:tcBorders>
              <w:top w:val="single" w:sz="4" w:color="BFBFBF"/>
              <w:left w:val="single" w:sz="4" w:color="BFBFBF"/>
              <w:bottom w:val="single" w:sz="4" w:color="BFBFBF"/>
              <w:right w:val="single" w:sz="4" w:color="BFBFBF"/>
            </w:tcBorders>
            <w:vAlign w:val="center"/>
          </w:tcPr>
          <w:p>
            <w:r>
              <w:rPr>
                <w:rFonts w:ascii="Calibri" w:hAnsi="Calibri"/>
                <w:sz w:val="20"/>
              </w:rPr>
              <w:t>Pilotage, scénarios, décisions stratégiques</w:t>
            </w:r>
          </w:p>
        </w:tc>
        <w:tc>
          <w:tcPr>
            <w:tcW w:type="dxa" w:w="1417"/>
            <w:tcBorders>
              <w:top w:val="single" w:sz="4" w:color="BFBFBF"/>
              <w:left w:val="single" w:sz="4" w:color="BFBFBF"/>
              <w:bottom w:val="single" w:sz="4" w:color="BFBFBF"/>
              <w:right w:val="single" w:sz="4" w:color="BFBFBF"/>
            </w:tcBorders>
            <w:vAlign w:val="center"/>
          </w:tcPr>
          <w:p>
            <w:r>
              <w:rPr>
                <w:rFonts w:ascii="Calibri" w:hAnsi="Calibri"/>
                <w:sz w:val="20"/>
              </w:rPr>
              <w:t>Faible</w:t>
            </w:r>
          </w:p>
        </w:tc>
      </w:tr>
      <w:tr>
        <w:tc>
          <w:tcPr>
            <w:tcW w:type="dxa" w:w="1984"/>
            <w:shd w:val="clear" w:color="auto" w:fill="F2F2F2"/>
            <w:tcBorders>
              <w:top w:val="single" w:sz="4" w:color="BFBFBF"/>
              <w:left w:val="single" w:sz="4" w:color="BFBFBF"/>
              <w:bottom w:val="single" w:sz="4" w:color="BFBFBF"/>
              <w:right w:val="single" w:sz="4" w:color="BFBFBF"/>
            </w:tcBorders>
            <w:vAlign w:val="center"/>
          </w:tcPr>
          <w:p>
            <w:r>
              <w:rPr>
                <w:rFonts w:ascii="Calibri" w:hAnsi="Calibri"/>
                <w:sz w:val="20"/>
              </w:rPr>
              <w:t>DAF / CFO</w:t>
            </w:r>
          </w:p>
        </w:tc>
        <w:tc>
          <w:tcPr>
            <w:tcW w:type="dxa" w:w="2551"/>
            <w:shd w:val="clear" w:color="auto" w:fill="F2F2F2"/>
            <w:tcBorders>
              <w:top w:val="single" w:sz="4" w:color="BFBFBF"/>
              <w:left w:val="single" w:sz="4" w:color="BFBFBF"/>
              <w:bottom w:val="single" w:sz="4" w:color="BFBFBF"/>
              <w:right w:val="single" w:sz="4" w:color="BFBFBF"/>
            </w:tcBorders>
            <w:vAlign w:val="center"/>
          </w:tcPr>
          <w:p>
            <w:r>
              <w:rPr>
                <w:rFonts w:ascii="Calibri" w:hAnsi="Calibri"/>
                <w:sz w:val="20"/>
              </w:rPr>
              <w:t>Expert financier</w:t>
            </w:r>
          </w:p>
        </w:tc>
        <w:tc>
          <w:tcPr>
            <w:tcW w:type="dxa" w:w="3685"/>
            <w:shd w:val="clear" w:color="auto" w:fill="F2F2F2"/>
            <w:tcBorders>
              <w:top w:val="single" w:sz="4" w:color="BFBFBF"/>
              <w:left w:val="single" w:sz="4" w:color="BFBFBF"/>
              <w:bottom w:val="single" w:sz="4" w:color="BFBFBF"/>
              <w:right w:val="single" w:sz="4" w:color="BFBFBF"/>
            </w:tcBorders>
            <w:vAlign w:val="center"/>
          </w:tcPr>
          <w:p>
            <w:r>
              <w:rPr>
                <w:rFonts w:ascii="Calibri" w:hAnsi="Calibri"/>
                <w:sz w:val="20"/>
              </w:rPr>
              <w:t>Construction, maintenance, audit des modèles</w:t>
            </w:r>
          </w:p>
        </w:tc>
        <w:tc>
          <w:tcPr>
            <w:tcW w:type="dxa" w:w="1417"/>
            <w:shd w:val="clear" w:color="auto" w:fill="F2F2F2"/>
            <w:tcBorders>
              <w:top w:val="single" w:sz="4" w:color="BFBFBF"/>
              <w:left w:val="single" w:sz="4" w:color="BFBFBF"/>
              <w:bottom w:val="single" w:sz="4" w:color="BFBFBF"/>
              <w:right w:val="single" w:sz="4" w:color="BFBFBF"/>
            </w:tcBorders>
            <w:vAlign w:val="center"/>
          </w:tcPr>
          <w:p>
            <w:r>
              <w:rPr>
                <w:rFonts w:ascii="Calibri" w:hAnsi="Calibri"/>
                <w:sz w:val="20"/>
              </w:rPr>
              <w:t>Élevé</w:t>
            </w:r>
          </w:p>
        </w:tc>
      </w:tr>
      <w:tr>
        <w:tc>
          <w:tcPr>
            <w:tcW w:type="dxa" w:w="1984"/>
            <w:tcBorders>
              <w:top w:val="single" w:sz="4" w:color="BFBFBF"/>
              <w:left w:val="single" w:sz="4" w:color="BFBFBF"/>
              <w:bottom w:val="single" w:sz="4" w:color="BFBFBF"/>
              <w:right w:val="single" w:sz="4" w:color="BFBFBF"/>
            </w:tcBorders>
            <w:vAlign w:val="center"/>
          </w:tcPr>
          <w:p>
            <w:r>
              <w:rPr>
                <w:rFonts w:ascii="Calibri" w:hAnsi="Calibri"/>
                <w:sz w:val="20"/>
              </w:rPr>
              <w:t>Contrôleur de gestion</w:t>
            </w:r>
          </w:p>
        </w:tc>
        <w:tc>
          <w:tcPr>
            <w:tcW w:type="dxa" w:w="2551"/>
            <w:tcBorders>
              <w:top w:val="single" w:sz="4" w:color="BFBFBF"/>
              <w:left w:val="single" w:sz="4" w:color="BFBFBF"/>
              <w:bottom w:val="single" w:sz="4" w:color="BFBFBF"/>
              <w:right w:val="single" w:sz="4" w:color="BFBFBF"/>
            </w:tcBorders>
            <w:vAlign w:val="center"/>
          </w:tcPr>
          <w:p>
            <w:r>
              <w:rPr>
                <w:rFonts w:ascii="Calibri" w:hAnsi="Calibri"/>
                <w:sz w:val="20"/>
              </w:rPr>
              <w:t>Analyste métier</w:t>
            </w:r>
          </w:p>
        </w:tc>
        <w:tc>
          <w:tcPr>
            <w:tcW w:type="dxa" w:w="3685"/>
            <w:tcBorders>
              <w:top w:val="single" w:sz="4" w:color="BFBFBF"/>
              <w:left w:val="single" w:sz="4" w:color="BFBFBF"/>
              <w:bottom w:val="single" w:sz="4" w:color="BFBFBF"/>
              <w:right w:val="single" w:sz="4" w:color="BFBFBF"/>
            </w:tcBorders>
            <w:vAlign w:val="center"/>
          </w:tcPr>
          <w:p>
            <w:r>
              <w:rPr>
                <w:rFonts w:ascii="Calibri" w:hAnsi="Calibri"/>
                <w:sz w:val="20"/>
              </w:rPr>
              <w:t>Suivi mensuel, écarts, reforecast</w:t>
            </w:r>
          </w:p>
        </w:tc>
        <w:tc>
          <w:tcPr>
            <w:tcW w:type="dxa" w:w="1417"/>
            <w:tcBorders>
              <w:top w:val="single" w:sz="4" w:color="BFBFBF"/>
              <w:left w:val="single" w:sz="4" w:color="BFBFBF"/>
              <w:bottom w:val="single" w:sz="4" w:color="BFBFBF"/>
              <w:right w:val="single" w:sz="4" w:color="BFBFBF"/>
            </w:tcBorders>
            <w:vAlign w:val="center"/>
          </w:tcPr>
          <w:p>
            <w:r>
              <w:rPr>
                <w:rFonts w:ascii="Calibri" w:hAnsi="Calibri"/>
                <w:sz w:val="20"/>
              </w:rPr>
              <w:t>Moyen-élevé</w:t>
            </w:r>
          </w:p>
        </w:tc>
      </w:tr>
      <w:tr>
        <w:tc>
          <w:tcPr>
            <w:tcW w:type="dxa" w:w="1984"/>
            <w:shd w:val="clear" w:color="auto" w:fill="F2F2F2"/>
            <w:tcBorders>
              <w:top w:val="single" w:sz="4" w:color="BFBFBF"/>
              <w:left w:val="single" w:sz="4" w:color="BFBFBF"/>
              <w:bottom w:val="single" w:sz="4" w:color="BFBFBF"/>
              <w:right w:val="single" w:sz="4" w:color="BFBFBF"/>
            </w:tcBorders>
            <w:vAlign w:val="center"/>
          </w:tcPr>
          <w:p>
            <w:r>
              <w:rPr>
                <w:rFonts w:ascii="Calibri" w:hAnsi="Calibri"/>
                <w:sz w:val="20"/>
              </w:rPr>
              <w:t>Auditeur externe</w:t>
            </w:r>
          </w:p>
        </w:tc>
        <w:tc>
          <w:tcPr>
            <w:tcW w:type="dxa" w:w="2551"/>
            <w:shd w:val="clear" w:color="auto" w:fill="F2F2F2"/>
            <w:tcBorders>
              <w:top w:val="single" w:sz="4" w:color="BFBFBF"/>
              <w:left w:val="single" w:sz="4" w:color="BFBFBF"/>
              <w:bottom w:val="single" w:sz="4" w:color="BFBFBF"/>
              <w:right w:val="single" w:sz="4" w:color="BFBFBF"/>
            </w:tcBorders>
            <w:vAlign w:val="center"/>
          </w:tcPr>
          <w:p>
            <w:r>
              <w:rPr>
                <w:rFonts w:ascii="Calibri" w:hAnsi="Calibri"/>
                <w:sz w:val="20"/>
              </w:rPr>
              <w:t>Commissaire aux comptes</w:t>
            </w:r>
          </w:p>
        </w:tc>
        <w:tc>
          <w:tcPr>
            <w:tcW w:type="dxa" w:w="3685"/>
            <w:shd w:val="clear" w:color="auto" w:fill="F2F2F2"/>
            <w:tcBorders>
              <w:top w:val="single" w:sz="4" w:color="BFBFBF"/>
              <w:left w:val="single" w:sz="4" w:color="BFBFBF"/>
              <w:bottom w:val="single" w:sz="4" w:color="BFBFBF"/>
              <w:right w:val="single" w:sz="4" w:color="BFBFBF"/>
            </w:tcBorders>
            <w:vAlign w:val="center"/>
          </w:tcPr>
          <w:p>
            <w:r>
              <w:rPr>
                <w:rFonts w:ascii="Calibri" w:hAnsi="Calibri"/>
                <w:sz w:val="20"/>
              </w:rPr>
              <w:t>Revue de cohérence, vérification normative</w:t>
            </w:r>
          </w:p>
        </w:tc>
        <w:tc>
          <w:tcPr>
            <w:tcW w:type="dxa" w:w="1417"/>
            <w:shd w:val="clear" w:color="auto" w:fill="F2F2F2"/>
            <w:tcBorders>
              <w:top w:val="single" w:sz="4" w:color="BFBFBF"/>
              <w:left w:val="single" w:sz="4" w:color="BFBFBF"/>
              <w:bottom w:val="single" w:sz="4" w:color="BFBFBF"/>
              <w:right w:val="single" w:sz="4" w:color="BFBFBF"/>
            </w:tcBorders>
            <w:vAlign w:val="center"/>
          </w:tcPr>
          <w:p>
            <w:r>
              <w:rPr>
                <w:rFonts w:ascii="Calibri" w:hAnsi="Calibri"/>
                <w:sz w:val="20"/>
              </w:rPr>
              <w:t>Moyen</w:t>
            </w:r>
          </w:p>
        </w:tc>
      </w:tr>
      <w:tr>
        <w:tc>
          <w:tcPr>
            <w:tcW w:type="dxa" w:w="1984"/>
            <w:tcBorders>
              <w:top w:val="single" w:sz="4" w:color="BFBFBF"/>
              <w:left w:val="single" w:sz="4" w:color="BFBFBF"/>
              <w:bottom w:val="single" w:sz="4" w:color="BFBFBF"/>
              <w:right w:val="single" w:sz="4" w:color="BFBFBF"/>
            </w:tcBorders>
            <w:vAlign w:val="center"/>
          </w:tcPr>
          <w:p>
            <w:r>
              <w:rPr>
                <w:rFonts w:ascii="Calibri" w:hAnsi="Calibri"/>
                <w:sz w:val="20"/>
              </w:rPr>
              <w:t>Investisseur / Banquier</w:t>
            </w:r>
          </w:p>
        </w:tc>
        <w:tc>
          <w:tcPr>
            <w:tcW w:type="dxa" w:w="2551"/>
            <w:tcBorders>
              <w:top w:val="single" w:sz="4" w:color="BFBFBF"/>
              <w:left w:val="single" w:sz="4" w:color="BFBFBF"/>
              <w:bottom w:val="single" w:sz="4" w:color="BFBFBF"/>
              <w:right w:val="single" w:sz="4" w:color="BFBFBF"/>
            </w:tcBorders>
            <w:vAlign w:val="center"/>
          </w:tcPr>
          <w:p>
            <w:r>
              <w:rPr>
                <w:rFonts w:ascii="Calibri" w:hAnsi="Calibri"/>
                <w:sz w:val="20"/>
              </w:rPr>
              <w:t>Analyste crédit ou equity</w:t>
            </w:r>
          </w:p>
        </w:tc>
        <w:tc>
          <w:tcPr>
            <w:tcW w:type="dxa" w:w="3685"/>
            <w:tcBorders>
              <w:top w:val="single" w:sz="4" w:color="BFBFBF"/>
              <w:left w:val="single" w:sz="4" w:color="BFBFBF"/>
              <w:bottom w:val="single" w:sz="4" w:color="BFBFBF"/>
              <w:right w:val="single" w:sz="4" w:color="BFBFBF"/>
            </w:tcBorders>
            <w:vAlign w:val="center"/>
          </w:tcPr>
          <w:p>
            <w:r>
              <w:rPr>
                <w:rFonts w:ascii="Calibri" w:hAnsi="Calibri"/>
                <w:sz w:val="20"/>
              </w:rPr>
              <w:t>Analyse de dossier, stress tests</w:t>
            </w:r>
          </w:p>
        </w:tc>
        <w:tc>
          <w:tcPr>
            <w:tcW w:type="dxa" w:w="1417"/>
            <w:tcBorders>
              <w:top w:val="single" w:sz="4" w:color="BFBFBF"/>
              <w:left w:val="single" w:sz="4" w:color="BFBFBF"/>
              <w:bottom w:val="single" w:sz="4" w:color="BFBFBF"/>
              <w:right w:val="single" w:sz="4" w:color="BFBFBF"/>
            </w:tcBorders>
            <w:vAlign w:val="center"/>
          </w:tcPr>
          <w:p>
            <w:r>
              <w:rPr>
                <w:rFonts w:ascii="Calibri" w:hAnsi="Calibri"/>
                <w:sz w:val="20"/>
              </w:rPr>
              <w:t>Moyen</w:t>
            </w:r>
          </w:p>
        </w:tc>
      </w:tr>
      <w:tr>
        <w:tc>
          <w:tcPr>
            <w:tcW w:type="dxa" w:w="1984"/>
            <w:shd w:val="clear" w:color="auto" w:fill="F2F2F2"/>
            <w:tcBorders>
              <w:top w:val="single" w:sz="4" w:color="BFBFBF"/>
              <w:left w:val="single" w:sz="4" w:color="BFBFBF"/>
              <w:bottom w:val="single" w:sz="4" w:color="BFBFBF"/>
              <w:right w:val="single" w:sz="4" w:color="BFBFBF"/>
            </w:tcBorders>
            <w:vAlign w:val="center"/>
          </w:tcPr>
          <w:p>
            <w:r>
              <w:rPr>
                <w:rFonts w:ascii="Calibri" w:hAnsi="Calibri"/>
                <w:sz w:val="20"/>
              </w:rPr>
              <w:t>Consultant / Conseil</w:t>
            </w:r>
          </w:p>
        </w:tc>
        <w:tc>
          <w:tcPr>
            <w:tcW w:type="dxa" w:w="2551"/>
            <w:shd w:val="clear" w:color="auto" w:fill="F2F2F2"/>
            <w:tcBorders>
              <w:top w:val="single" w:sz="4" w:color="BFBFBF"/>
              <w:left w:val="single" w:sz="4" w:color="BFBFBF"/>
              <w:bottom w:val="single" w:sz="4" w:color="BFBFBF"/>
              <w:right w:val="single" w:sz="4" w:color="BFBFBF"/>
            </w:tcBorders>
            <w:vAlign w:val="center"/>
          </w:tcPr>
          <w:p>
            <w:r>
              <w:rPr>
                <w:rFonts w:ascii="Calibri" w:hAnsi="Calibri"/>
                <w:sz w:val="20"/>
              </w:rPr>
              <w:t>Expert sectoriel multi-clients</w:t>
            </w:r>
          </w:p>
        </w:tc>
        <w:tc>
          <w:tcPr>
            <w:tcW w:type="dxa" w:w="3685"/>
            <w:shd w:val="clear" w:color="auto" w:fill="F2F2F2"/>
            <w:tcBorders>
              <w:top w:val="single" w:sz="4" w:color="BFBFBF"/>
              <w:left w:val="single" w:sz="4" w:color="BFBFBF"/>
              <w:bottom w:val="single" w:sz="4" w:color="BFBFBF"/>
              <w:right w:val="single" w:sz="4" w:color="BFBFBF"/>
            </w:tcBorders>
            <w:vAlign w:val="center"/>
          </w:tcPr>
          <w:p>
            <w:r>
              <w:rPr>
                <w:rFonts w:ascii="Calibri" w:hAnsi="Calibri"/>
                <w:sz w:val="20"/>
              </w:rPr>
              <w:t>Production de modèles pour clients</w:t>
            </w:r>
          </w:p>
        </w:tc>
        <w:tc>
          <w:tcPr>
            <w:tcW w:type="dxa" w:w="1417"/>
            <w:shd w:val="clear" w:color="auto" w:fill="F2F2F2"/>
            <w:tcBorders>
              <w:top w:val="single" w:sz="4" w:color="BFBFBF"/>
              <w:left w:val="single" w:sz="4" w:color="BFBFBF"/>
              <w:bottom w:val="single" w:sz="4" w:color="BFBFBF"/>
              <w:right w:val="single" w:sz="4" w:color="BFBFBF"/>
            </w:tcBorders>
            <w:vAlign w:val="center"/>
          </w:tcPr>
          <w:p>
            <w:r>
              <w:rPr>
                <w:rFonts w:ascii="Calibri" w:hAnsi="Calibri"/>
                <w:sz w:val="20"/>
              </w:rPr>
              <w:t>Élevé</w:t>
            </w:r>
          </w:p>
        </w:tc>
      </w:tr>
    </w:tbl>
    <w:p>
      <w:pPr>
        <w:spacing w:after="120"/>
      </w:pPr>
    </w:p>
    <w:p>
      <w:pPr>
        <w:pStyle w:val="Heading2"/>
        <w:spacing w:before="240" w:after="120"/>
      </w:pPr>
      <w:r>
        <w:rPr>
          <w:rFonts w:ascii="Calibri" w:hAnsi="Calibri"/>
          <w:b/>
          <w:color w:val="0A2540"/>
          <w:sz w:val="30"/>
        </w:rPr>
        <w:t>1.4 Différenciation concurrentielle</w:t>
      </w:r>
    </w:p>
    <w:p>
      <w:pPr>
        <w:spacing w:before="0" w:after="120"/>
        <w:jc w:val="both"/>
      </w:pPr>
      <w:r>
        <w:rPr>
          <w:rFonts w:ascii="Calibri" w:hAnsi="Calibri"/>
          <w:b w:val="0"/>
          <w:i w:val="0"/>
          <w:color w:val="000000"/>
          <w:sz w:val="22"/>
        </w:rPr>
        <w:t>Le marché de la modélisation financière en zone francophone Afrique est aujourd'hui dominé par Excel. Les outils SaaS internationaux (Mosaic, Anaplan, Cube, Pigment, Causal) sont peu adaptés aux normes locales (SYSCOHADA, CIMA, fiscalité UEMOA/CEMAC) et facturés en devises fortes. La proposition de valeur de l'outil repose sur quatre piliers :</w:t>
      </w:r>
    </w:p>
    <w:p>
      <w:pPr>
        <w:pStyle w:val="ListBullet"/>
        <w:spacing w:after="60"/>
        <w:ind w:left="340"/>
      </w:pPr>
      <w:r>
        <w:rPr>
          <w:rFonts w:ascii="Calibri" w:hAnsi="Calibri"/>
          <w:sz w:val="22"/>
        </w:rPr>
        <w:t>Couverture normative locale : SYSCOHADA Révisé (2017), CIMA, OHADA, fiscalités UEMOA et CEMAC nativement supportés.</w:t>
      </w:r>
    </w:p>
    <w:p>
      <w:pPr>
        <w:pStyle w:val="ListBullet"/>
        <w:spacing w:after="60"/>
        <w:ind w:left="340"/>
      </w:pPr>
      <w:r>
        <w:rPr>
          <w:rFonts w:ascii="Calibri" w:hAnsi="Calibri"/>
          <w:sz w:val="22"/>
        </w:rPr>
        <w:t>Bibliothèque sectorielle prête à l'emploi : 8 secteurs avec leurs templates, KPIs et règles métier déjà modélisés.</w:t>
      </w:r>
    </w:p>
    <w:p>
      <w:pPr>
        <w:pStyle w:val="ListBullet"/>
        <w:spacing w:after="60"/>
        <w:ind w:left="340"/>
      </w:pPr>
      <w:r>
        <w:rPr>
          <w:rFonts w:ascii="Calibri" w:hAnsi="Calibri"/>
          <w:sz w:val="22"/>
        </w:rPr>
        <w:t>Tarification adaptée au marché local : modèle freemium / SaaS facturable en FCFA.</w:t>
      </w:r>
    </w:p>
    <w:p>
      <w:pPr>
        <w:pStyle w:val="ListBullet"/>
        <w:spacing w:after="60"/>
        <w:ind w:left="340"/>
      </w:pPr>
      <w:r>
        <w:rPr>
          <w:rFonts w:ascii="Calibri" w:hAnsi="Calibri"/>
          <w:sz w:val="22"/>
        </w:rPr>
        <w:t>Service à valeur ajoutée : accompagnement par H&amp;C Group (Agiltym pour le conseil, H&amp;C Executive Education pour la formation des utilisateurs).</w:t>
      </w:r>
    </w:p>
    <w:p>
      <w:r>
        <w:br w:type="page"/>
      </w:r>
    </w:p>
    <w:p>
      <w:pPr>
        <w:pStyle w:val="Heading1"/>
        <w:spacing w:before="240" w:after="120"/>
      </w:pPr>
      <w:r>
        <w:rPr>
          <w:rFonts w:ascii="Calibri" w:hAnsi="Calibri"/>
          <w:b/>
          <w:color w:val="0A2540"/>
          <w:sz w:val="36"/>
        </w:rPr>
        <w:t>2. Cadre méthodologique transverse</w:t>
      </w:r>
    </w:p>
    <w:p>
      <w:pPr>
        <w:pStyle w:val="Heading2"/>
        <w:spacing w:before="240" w:after="120"/>
      </w:pPr>
      <w:r>
        <w:rPr>
          <w:rFonts w:ascii="Calibri" w:hAnsi="Calibri"/>
          <w:b/>
          <w:color w:val="0A2540"/>
          <w:sz w:val="30"/>
        </w:rPr>
        <w:t>2.1 Notion de "template sectoriel"</w:t>
      </w:r>
    </w:p>
    <w:p>
      <w:pPr>
        <w:spacing w:before="0" w:after="120"/>
        <w:jc w:val="both"/>
      </w:pPr>
      <w:r>
        <w:rPr>
          <w:rFonts w:ascii="Calibri" w:hAnsi="Calibri"/>
          <w:b w:val="0"/>
          <w:i w:val="0"/>
          <w:color w:val="000000"/>
          <w:sz w:val="22"/>
        </w:rPr>
        <w:t>Le template sectoriel est l'unité fondamentale de l'outil. Il agrège tout ce qui rend un secteur distinct des autres : ses inputs spécifiques, ses règles de calcul, sa structure d'outputs, ses indicateurs de performance et ses normes applicables. Un template est composé de cinq couches :</w:t>
      </w:r>
    </w:p>
    <w:tbl>
      <w:tblPr>
        <w:tblW w:type="auto" w:w="0"/>
        <w:jc w:val="center"/>
        <w:tblLayout w:type="fixed"/>
        <w:tblLook w:firstColumn="1" w:firstRow="1" w:lastColumn="0" w:lastRow="0" w:noHBand="0" w:noVBand="1" w:val="04A0"/>
      </w:tblPr>
      <w:tblGrid>
        <w:gridCol w:w="2351"/>
        <w:gridCol w:w="2351"/>
        <w:gridCol w:w="2351"/>
        <w:gridCol w:w="2351"/>
      </w:tblGrid>
      <w:tr>
        <w:tc>
          <w:tcPr>
            <w:tcW w:type="dxa" w:w="1417"/>
            <w:shd w:val="clear" w:color="auto" w:fill="0A2540"/>
            <w:tcBorders>
              <w:top w:val="single" w:sz="4" w:color="BFBFBF"/>
              <w:left w:val="single" w:sz="4" w:color="BFBFBF"/>
              <w:bottom w:val="single" w:sz="4" w:color="BFBFBF"/>
              <w:right w:val="single" w:sz="4" w:color="BFBFBF"/>
            </w:tcBorders>
            <w:vAlign w:val="center"/>
          </w:tcPr>
          <w:p>
            <w:pPr>
              <w:jc w:val="center"/>
            </w:pPr>
            <w:r>
              <w:rPr>
                <w:rFonts w:ascii="Calibri" w:hAnsi="Calibri"/>
                <w:b/>
                <w:color w:val="FFFFFF"/>
                <w:sz w:val="20"/>
              </w:rPr>
              <w:t>Couche</w:t>
            </w:r>
          </w:p>
        </w:tc>
        <w:tc>
          <w:tcPr>
            <w:tcW w:type="dxa" w:w="2835"/>
            <w:shd w:val="clear" w:color="auto" w:fill="0A2540"/>
            <w:tcBorders>
              <w:top w:val="single" w:sz="4" w:color="BFBFBF"/>
              <w:left w:val="single" w:sz="4" w:color="BFBFBF"/>
              <w:bottom w:val="single" w:sz="4" w:color="BFBFBF"/>
              <w:right w:val="single" w:sz="4" w:color="BFBFBF"/>
            </w:tcBorders>
            <w:vAlign w:val="center"/>
          </w:tcPr>
          <w:p>
            <w:pPr>
              <w:jc w:val="center"/>
            </w:pPr>
            <w:r>
              <w:rPr>
                <w:rFonts w:ascii="Calibri" w:hAnsi="Calibri"/>
                <w:b/>
                <w:color w:val="FFFFFF"/>
                <w:sz w:val="20"/>
              </w:rPr>
              <w:t>Contenu</w:t>
            </w:r>
          </w:p>
        </w:tc>
        <w:tc>
          <w:tcPr>
            <w:tcW w:type="dxa" w:w="2551"/>
            <w:shd w:val="clear" w:color="auto" w:fill="0A2540"/>
            <w:tcBorders>
              <w:top w:val="single" w:sz="4" w:color="BFBFBF"/>
              <w:left w:val="single" w:sz="4" w:color="BFBFBF"/>
              <w:bottom w:val="single" w:sz="4" w:color="BFBFBF"/>
              <w:right w:val="single" w:sz="4" w:color="BFBFBF"/>
            </w:tcBorders>
            <w:vAlign w:val="center"/>
          </w:tcPr>
          <w:p>
            <w:pPr>
              <w:jc w:val="center"/>
            </w:pPr>
            <w:r>
              <w:rPr>
                <w:rFonts w:ascii="Calibri" w:hAnsi="Calibri"/>
                <w:b/>
                <w:color w:val="FFFFFF"/>
                <w:sz w:val="20"/>
              </w:rPr>
              <w:t>Exemple BTP</w:t>
            </w:r>
          </w:p>
        </w:tc>
        <w:tc>
          <w:tcPr>
            <w:tcW w:type="dxa" w:w="2835"/>
            <w:shd w:val="clear" w:color="auto" w:fill="0A2540"/>
            <w:tcBorders>
              <w:top w:val="single" w:sz="4" w:color="BFBFBF"/>
              <w:left w:val="single" w:sz="4" w:color="BFBFBF"/>
              <w:bottom w:val="single" w:sz="4" w:color="BFBFBF"/>
              <w:right w:val="single" w:sz="4" w:color="BFBFBF"/>
            </w:tcBorders>
            <w:vAlign w:val="center"/>
          </w:tcPr>
          <w:p>
            <w:pPr>
              <w:jc w:val="center"/>
            </w:pPr>
            <w:r>
              <w:rPr>
                <w:rFonts w:ascii="Calibri" w:hAnsi="Calibri"/>
                <w:b/>
                <w:color w:val="FFFFFF"/>
                <w:sz w:val="20"/>
              </w:rPr>
              <w:t>Exemple Banque</w:t>
            </w:r>
          </w:p>
        </w:tc>
      </w:tr>
      <w:tr>
        <w:tc>
          <w:tcPr>
            <w:tcW w:type="dxa" w:w="1417"/>
            <w:tcBorders>
              <w:top w:val="single" w:sz="4" w:color="BFBFBF"/>
              <w:left w:val="single" w:sz="4" w:color="BFBFBF"/>
              <w:bottom w:val="single" w:sz="4" w:color="BFBFBF"/>
              <w:right w:val="single" w:sz="4" w:color="BFBFBF"/>
            </w:tcBorders>
            <w:vAlign w:val="center"/>
          </w:tcPr>
          <w:p>
            <w:r>
              <w:rPr>
                <w:rFonts w:ascii="Calibri" w:hAnsi="Calibri"/>
                <w:sz w:val="20"/>
              </w:rPr>
              <w:t>1. Identité</w:t>
            </w:r>
          </w:p>
        </w:tc>
        <w:tc>
          <w:tcPr>
            <w:tcW w:type="dxa" w:w="2835"/>
            <w:tcBorders>
              <w:top w:val="single" w:sz="4" w:color="BFBFBF"/>
              <w:left w:val="single" w:sz="4" w:color="BFBFBF"/>
              <w:bottom w:val="single" w:sz="4" w:color="BFBFBF"/>
              <w:right w:val="single" w:sz="4" w:color="BFBFBF"/>
            </w:tcBorders>
            <w:vAlign w:val="center"/>
          </w:tcPr>
          <w:p>
            <w:r>
              <w:rPr>
                <w:rFonts w:ascii="Calibri" w:hAnsi="Calibri"/>
                <w:sz w:val="20"/>
              </w:rPr>
              <w:t>Nom, version, zone géographique, normes applicables</w:t>
            </w:r>
          </w:p>
        </w:tc>
        <w:tc>
          <w:tcPr>
            <w:tcW w:type="dxa" w:w="2551"/>
            <w:tcBorders>
              <w:top w:val="single" w:sz="4" w:color="BFBFBF"/>
              <w:left w:val="single" w:sz="4" w:color="BFBFBF"/>
              <w:bottom w:val="single" w:sz="4" w:color="BFBFBF"/>
              <w:right w:val="single" w:sz="4" w:color="BFBFBF"/>
            </w:tcBorders>
            <w:vAlign w:val="center"/>
          </w:tcPr>
          <w:p>
            <w:r>
              <w:rPr>
                <w:rFonts w:ascii="Calibri" w:hAnsi="Calibri"/>
                <w:sz w:val="20"/>
              </w:rPr>
              <w:t>BTP-Bâtiments-UEMOA-v1</w:t>
            </w:r>
          </w:p>
        </w:tc>
        <w:tc>
          <w:tcPr>
            <w:tcW w:type="dxa" w:w="2835"/>
            <w:tcBorders>
              <w:top w:val="single" w:sz="4" w:color="BFBFBF"/>
              <w:left w:val="single" w:sz="4" w:color="BFBFBF"/>
              <w:bottom w:val="single" w:sz="4" w:color="BFBFBF"/>
              <w:right w:val="single" w:sz="4" w:color="BFBFBF"/>
            </w:tcBorders>
            <w:vAlign w:val="center"/>
          </w:tcPr>
          <w:p>
            <w:r>
              <w:rPr>
                <w:rFonts w:ascii="Calibri" w:hAnsi="Calibri"/>
                <w:sz w:val="20"/>
              </w:rPr>
              <w:t>Banque-Universelle-IFRS-v1</w:t>
            </w:r>
          </w:p>
        </w:tc>
      </w:tr>
      <w:tr>
        <w:tc>
          <w:tcPr>
            <w:tcW w:type="dxa" w:w="1417"/>
            <w:shd w:val="clear" w:color="auto" w:fill="F2F2F2"/>
            <w:tcBorders>
              <w:top w:val="single" w:sz="4" w:color="BFBFBF"/>
              <w:left w:val="single" w:sz="4" w:color="BFBFBF"/>
              <w:bottom w:val="single" w:sz="4" w:color="BFBFBF"/>
              <w:right w:val="single" w:sz="4" w:color="BFBFBF"/>
            </w:tcBorders>
            <w:vAlign w:val="center"/>
          </w:tcPr>
          <w:p>
            <w:r>
              <w:rPr>
                <w:rFonts w:ascii="Calibri" w:hAnsi="Calibri"/>
                <w:sz w:val="20"/>
              </w:rPr>
              <w:t>2. Hypothèses</w:t>
            </w:r>
          </w:p>
        </w:tc>
        <w:tc>
          <w:tcPr>
            <w:tcW w:type="dxa" w:w="2835"/>
            <w:shd w:val="clear" w:color="auto" w:fill="F2F2F2"/>
            <w:tcBorders>
              <w:top w:val="single" w:sz="4" w:color="BFBFBF"/>
              <w:left w:val="single" w:sz="4" w:color="BFBFBF"/>
              <w:bottom w:val="single" w:sz="4" w:color="BFBFBF"/>
              <w:right w:val="single" w:sz="4" w:color="BFBFBF"/>
            </w:tcBorders>
            <w:vAlign w:val="center"/>
          </w:tcPr>
          <w:p>
            <w:r>
              <w:rPr>
                <w:rFonts w:ascii="Calibri" w:hAnsi="Calibri"/>
                <w:sz w:val="20"/>
              </w:rPr>
              <w:t>Liste structurée d'inputs par catégorie</w:t>
            </w:r>
          </w:p>
        </w:tc>
        <w:tc>
          <w:tcPr>
            <w:tcW w:type="dxa" w:w="2551"/>
            <w:shd w:val="clear" w:color="auto" w:fill="F2F2F2"/>
            <w:tcBorders>
              <w:top w:val="single" w:sz="4" w:color="BFBFBF"/>
              <w:left w:val="single" w:sz="4" w:color="BFBFBF"/>
              <w:bottom w:val="single" w:sz="4" w:color="BFBFBF"/>
              <w:right w:val="single" w:sz="4" w:color="BFBFBF"/>
            </w:tcBorders>
            <w:vAlign w:val="center"/>
          </w:tcPr>
          <w:p>
            <w:r>
              <w:rPr>
                <w:rFonts w:ascii="Calibri" w:hAnsi="Calibri"/>
                <w:sz w:val="20"/>
              </w:rPr>
              <w:t>~70-80 paramètres</w:t>
            </w:r>
          </w:p>
        </w:tc>
        <w:tc>
          <w:tcPr>
            <w:tcW w:type="dxa" w:w="2835"/>
            <w:shd w:val="clear" w:color="auto" w:fill="F2F2F2"/>
            <w:tcBorders>
              <w:top w:val="single" w:sz="4" w:color="BFBFBF"/>
              <w:left w:val="single" w:sz="4" w:color="BFBFBF"/>
              <w:bottom w:val="single" w:sz="4" w:color="BFBFBF"/>
              <w:right w:val="single" w:sz="4" w:color="BFBFBF"/>
            </w:tcBorders>
            <w:vAlign w:val="center"/>
          </w:tcPr>
          <w:p>
            <w:r>
              <w:rPr>
                <w:rFonts w:ascii="Calibri" w:hAnsi="Calibri"/>
                <w:sz w:val="20"/>
              </w:rPr>
              <w:t>120+ paramètres</w:t>
            </w:r>
          </w:p>
        </w:tc>
      </w:tr>
      <w:tr>
        <w:tc>
          <w:tcPr>
            <w:tcW w:type="dxa" w:w="1417"/>
            <w:tcBorders>
              <w:top w:val="single" w:sz="4" w:color="BFBFBF"/>
              <w:left w:val="single" w:sz="4" w:color="BFBFBF"/>
              <w:bottom w:val="single" w:sz="4" w:color="BFBFBF"/>
              <w:right w:val="single" w:sz="4" w:color="BFBFBF"/>
            </w:tcBorders>
            <w:vAlign w:val="center"/>
          </w:tcPr>
          <w:p>
            <w:r>
              <w:rPr>
                <w:rFonts w:ascii="Calibri" w:hAnsi="Calibri"/>
                <w:sz w:val="20"/>
              </w:rPr>
              <w:t>3. Règles de calcul</w:t>
            </w:r>
          </w:p>
        </w:tc>
        <w:tc>
          <w:tcPr>
            <w:tcW w:type="dxa" w:w="2835"/>
            <w:tcBorders>
              <w:top w:val="single" w:sz="4" w:color="BFBFBF"/>
              <w:left w:val="single" w:sz="4" w:color="BFBFBF"/>
              <w:bottom w:val="single" w:sz="4" w:color="BFBFBF"/>
              <w:right w:val="single" w:sz="4" w:color="BFBFBF"/>
            </w:tcBorders>
            <w:vAlign w:val="center"/>
          </w:tcPr>
          <w:p>
            <w:r>
              <w:rPr>
                <w:rFonts w:ascii="Calibri" w:hAnsi="Calibri"/>
                <w:sz w:val="20"/>
              </w:rPr>
              <w:t>Formules métier, agrégations, contraintes</w:t>
            </w:r>
          </w:p>
        </w:tc>
        <w:tc>
          <w:tcPr>
            <w:tcW w:type="dxa" w:w="2551"/>
            <w:tcBorders>
              <w:top w:val="single" w:sz="4" w:color="BFBFBF"/>
              <w:left w:val="single" w:sz="4" w:color="BFBFBF"/>
              <w:bottom w:val="single" w:sz="4" w:color="BFBFBF"/>
              <w:right w:val="single" w:sz="4" w:color="BFBFBF"/>
            </w:tcBorders>
            <w:vAlign w:val="center"/>
          </w:tcPr>
          <w:p>
            <w:r>
              <w:rPr>
                <w:rFonts w:ascii="Calibri" w:hAnsi="Calibri"/>
                <w:sz w:val="20"/>
              </w:rPr>
              <w:t>POC, calcul RG, BFR projets</w:t>
            </w:r>
          </w:p>
        </w:tc>
        <w:tc>
          <w:tcPr>
            <w:tcW w:type="dxa" w:w="2835"/>
            <w:tcBorders>
              <w:top w:val="single" w:sz="4" w:color="BFBFBF"/>
              <w:left w:val="single" w:sz="4" w:color="BFBFBF"/>
              <w:bottom w:val="single" w:sz="4" w:color="BFBFBF"/>
              <w:right w:val="single" w:sz="4" w:color="BFBFBF"/>
            </w:tcBorders>
            <w:vAlign w:val="center"/>
          </w:tcPr>
          <w:p>
            <w:r>
              <w:rPr>
                <w:rFonts w:ascii="Calibri" w:hAnsi="Calibri"/>
                <w:sz w:val="20"/>
              </w:rPr>
              <w:t>NIM, ECL IFRS 9, coût du risque</w:t>
            </w:r>
          </w:p>
        </w:tc>
      </w:tr>
      <w:tr>
        <w:tc>
          <w:tcPr>
            <w:tcW w:type="dxa" w:w="1417"/>
            <w:shd w:val="clear" w:color="auto" w:fill="F2F2F2"/>
            <w:tcBorders>
              <w:top w:val="single" w:sz="4" w:color="BFBFBF"/>
              <w:left w:val="single" w:sz="4" w:color="BFBFBF"/>
              <w:bottom w:val="single" w:sz="4" w:color="BFBFBF"/>
              <w:right w:val="single" w:sz="4" w:color="BFBFBF"/>
            </w:tcBorders>
            <w:vAlign w:val="center"/>
          </w:tcPr>
          <w:p>
            <w:r>
              <w:rPr>
                <w:rFonts w:ascii="Calibri" w:hAnsi="Calibri"/>
                <w:sz w:val="20"/>
              </w:rPr>
              <w:t>4. Structure outputs</w:t>
            </w:r>
          </w:p>
        </w:tc>
        <w:tc>
          <w:tcPr>
            <w:tcW w:type="dxa" w:w="2835"/>
            <w:shd w:val="clear" w:color="auto" w:fill="F2F2F2"/>
            <w:tcBorders>
              <w:top w:val="single" w:sz="4" w:color="BFBFBF"/>
              <w:left w:val="single" w:sz="4" w:color="BFBFBF"/>
              <w:bottom w:val="single" w:sz="4" w:color="BFBFBF"/>
              <w:right w:val="single" w:sz="4" w:color="BFBFBF"/>
            </w:tcBorders>
            <w:vAlign w:val="center"/>
          </w:tcPr>
          <w:p>
            <w:r>
              <w:rPr>
                <w:rFonts w:ascii="Calibri" w:hAnsi="Calibri"/>
                <w:sz w:val="20"/>
              </w:rPr>
              <w:t>P&amp;L, bilan, trésorerie, KPIs, dashboards</w:t>
            </w:r>
          </w:p>
        </w:tc>
        <w:tc>
          <w:tcPr>
            <w:tcW w:type="dxa" w:w="2551"/>
            <w:shd w:val="clear" w:color="auto" w:fill="F2F2F2"/>
            <w:tcBorders>
              <w:top w:val="single" w:sz="4" w:color="BFBFBF"/>
              <w:left w:val="single" w:sz="4" w:color="BFBFBF"/>
              <w:bottom w:val="single" w:sz="4" w:color="BFBFBF"/>
              <w:right w:val="single" w:sz="4" w:color="BFBFBF"/>
            </w:tcBorders>
            <w:vAlign w:val="center"/>
          </w:tcPr>
          <w:p>
            <w:r>
              <w:rPr>
                <w:rFonts w:ascii="Calibri" w:hAnsi="Calibri"/>
                <w:sz w:val="20"/>
              </w:rPr>
              <w:t>P&amp;L par chantier</w:t>
            </w:r>
          </w:p>
        </w:tc>
        <w:tc>
          <w:tcPr>
            <w:tcW w:type="dxa" w:w="2835"/>
            <w:shd w:val="clear" w:color="auto" w:fill="F2F2F2"/>
            <w:tcBorders>
              <w:top w:val="single" w:sz="4" w:color="BFBFBF"/>
              <w:left w:val="single" w:sz="4" w:color="BFBFBF"/>
              <w:bottom w:val="single" w:sz="4" w:color="BFBFBF"/>
              <w:right w:val="single" w:sz="4" w:color="BFBFBF"/>
            </w:tcBorders>
            <w:vAlign w:val="center"/>
          </w:tcPr>
          <w:p>
            <w:r>
              <w:rPr>
                <w:rFonts w:ascii="Calibri" w:hAnsi="Calibri"/>
                <w:sz w:val="20"/>
              </w:rPr>
              <w:t>Bilan bancaire, ratios prudentiels</w:t>
            </w:r>
          </w:p>
        </w:tc>
      </w:tr>
      <w:tr>
        <w:tc>
          <w:tcPr>
            <w:tcW w:type="dxa" w:w="1417"/>
            <w:tcBorders>
              <w:top w:val="single" w:sz="4" w:color="BFBFBF"/>
              <w:left w:val="single" w:sz="4" w:color="BFBFBF"/>
              <w:bottom w:val="single" w:sz="4" w:color="BFBFBF"/>
              <w:right w:val="single" w:sz="4" w:color="BFBFBF"/>
            </w:tcBorders>
            <w:vAlign w:val="center"/>
          </w:tcPr>
          <w:p>
            <w:r>
              <w:rPr>
                <w:rFonts w:ascii="Calibri" w:hAnsi="Calibri"/>
                <w:sz w:val="20"/>
              </w:rPr>
              <w:t>5. Métadonnées</w:t>
            </w:r>
          </w:p>
        </w:tc>
        <w:tc>
          <w:tcPr>
            <w:tcW w:type="dxa" w:w="2835"/>
            <w:tcBorders>
              <w:top w:val="single" w:sz="4" w:color="BFBFBF"/>
              <w:left w:val="single" w:sz="4" w:color="BFBFBF"/>
              <w:bottom w:val="single" w:sz="4" w:color="BFBFBF"/>
              <w:right w:val="single" w:sz="4" w:color="BFBFBF"/>
            </w:tcBorders>
            <w:vAlign w:val="center"/>
          </w:tcPr>
          <w:p>
            <w:r>
              <w:rPr>
                <w:rFonts w:ascii="Calibri" w:hAnsi="Calibri"/>
                <w:sz w:val="20"/>
              </w:rPr>
              <w:t>Plans de comptes, mapping IFRS/SYSCOHADA</w:t>
            </w:r>
          </w:p>
        </w:tc>
        <w:tc>
          <w:tcPr>
            <w:tcW w:type="dxa" w:w="2551"/>
            <w:tcBorders>
              <w:top w:val="single" w:sz="4" w:color="BFBFBF"/>
              <w:left w:val="single" w:sz="4" w:color="BFBFBF"/>
              <w:bottom w:val="single" w:sz="4" w:color="BFBFBF"/>
              <w:right w:val="single" w:sz="4" w:color="BFBFBF"/>
            </w:tcBorders>
            <w:vAlign w:val="center"/>
          </w:tcPr>
          <w:p>
            <w:r>
              <w:rPr>
                <w:rFonts w:ascii="Calibri" w:hAnsi="Calibri"/>
                <w:sz w:val="20"/>
              </w:rPr>
              <w:t>Plan SYSCOHADA chap. 6-7</w:t>
            </w:r>
          </w:p>
        </w:tc>
        <w:tc>
          <w:tcPr>
            <w:tcW w:type="dxa" w:w="2835"/>
            <w:tcBorders>
              <w:top w:val="single" w:sz="4" w:color="BFBFBF"/>
              <w:left w:val="single" w:sz="4" w:color="BFBFBF"/>
              <w:bottom w:val="single" w:sz="4" w:color="BFBFBF"/>
              <w:right w:val="single" w:sz="4" w:color="BFBFBF"/>
            </w:tcBorders>
            <w:vAlign w:val="center"/>
          </w:tcPr>
          <w:p>
            <w:r>
              <w:rPr>
                <w:rFonts w:ascii="Calibri" w:hAnsi="Calibri"/>
                <w:sz w:val="20"/>
              </w:rPr>
              <w:t>Plan bancaire BCEAO</w:t>
            </w:r>
          </w:p>
        </w:tc>
      </w:tr>
    </w:tbl>
    <w:p>
      <w:pPr>
        <w:spacing w:after="120"/>
      </w:pPr>
    </w:p>
    <w:p>
      <w:pPr>
        <w:pStyle w:val="Heading2"/>
        <w:spacing w:before="240" w:after="120"/>
      </w:pPr>
      <w:r>
        <w:rPr>
          <w:rFonts w:ascii="Calibri" w:hAnsi="Calibri"/>
          <w:b/>
          <w:color w:val="0A2540"/>
          <w:sz w:val="30"/>
        </w:rPr>
        <w:t>2.2 Architecture conceptuelle des données</w:t>
      </w:r>
    </w:p>
    <w:p>
      <w:pPr>
        <w:spacing w:before="0" w:after="120"/>
        <w:jc w:val="both"/>
      </w:pPr>
      <w:r>
        <w:rPr>
          <w:rFonts w:ascii="Calibri" w:hAnsi="Calibri"/>
          <w:b w:val="0"/>
          <w:i w:val="0"/>
          <w:color w:val="000000"/>
          <w:sz w:val="22"/>
        </w:rPr>
        <w:t>Le modèle de données pivot articule cinq entités principales. Cette structure est fondamentale : elle conditionne la robustesse, la traçabilité et l'extensibilité de l'outil.</w:t>
      </w:r>
    </w:p>
    <w:p>
      <w:pPr>
        <w:pStyle w:val="Heading4"/>
        <w:spacing w:before="180" w:after="120"/>
      </w:pPr>
      <w:r>
        <w:rPr>
          <w:rFonts w:ascii="Calibri" w:hAnsi="Calibri"/>
          <w:b/>
          <w:i/>
          <w:color w:val="595959"/>
          <w:sz w:val="24"/>
        </w:rPr>
        <w:t>Entité 1 — Project (Projet de modélisation)</w:t>
      </w:r>
    </w:p>
    <w:p>
      <w:pPr>
        <w:pStyle w:val="ListBullet"/>
        <w:spacing w:after="60"/>
        <w:ind w:left="340"/>
      </w:pPr>
      <w:r>
        <w:rPr>
          <w:rFonts w:ascii="Calibri" w:hAnsi="Calibri"/>
          <w:sz w:val="22"/>
        </w:rPr>
        <w:t>Identifiant unique, propriétaire, droits d'accès, scénarios actifs</w:t>
      </w:r>
    </w:p>
    <w:p>
      <w:pPr>
        <w:pStyle w:val="ListBullet"/>
        <w:spacing w:after="60"/>
        <w:ind w:left="340"/>
      </w:pPr>
      <w:r>
        <w:rPr>
          <w:rFonts w:ascii="Calibri" w:hAnsi="Calibri"/>
          <w:sz w:val="22"/>
        </w:rPr>
        <w:t>Référence au template sectoriel utilisé</w:t>
      </w:r>
    </w:p>
    <w:p>
      <w:pPr>
        <w:pStyle w:val="ListBullet"/>
        <w:spacing w:after="60"/>
        <w:ind w:left="340"/>
      </w:pPr>
      <w:r>
        <w:rPr>
          <w:rFonts w:ascii="Calibri" w:hAnsi="Calibri"/>
          <w:sz w:val="22"/>
        </w:rPr>
        <w:t>Horizon de modélisation (n années, granularité mensuelle / trimestrielle / annuelle)</w:t>
      </w:r>
    </w:p>
    <w:p>
      <w:pPr>
        <w:pStyle w:val="ListBullet"/>
        <w:spacing w:after="60"/>
        <w:ind w:left="340"/>
      </w:pPr>
      <w:r>
        <w:rPr>
          <w:rFonts w:ascii="Calibri" w:hAnsi="Calibri"/>
          <w:sz w:val="22"/>
        </w:rPr>
        <w:t>Devise principale, devise de reporting alternative, taux de change</w:t>
      </w:r>
    </w:p>
    <w:p>
      <w:pPr>
        <w:pStyle w:val="ListBullet"/>
        <w:spacing w:after="60"/>
        <w:ind w:left="340"/>
      </w:pPr>
      <w:r>
        <w:rPr>
          <w:rFonts w:ascii="Calibri" w:hAnsi="Calibri"/>
          <w:sz w:val="22"/>
        </w:rPr>
        <w:t>Norme comptable principale (SYSCOHADA ou IFRS), normes secondaires</w:t>
      </w:r>
    </w:p>
    <w:p>
      <w:pPr>
        <w:pStyle w:val="Heading4"/>
        <w:spacing w:before="180" w:after="120"/>
      </w:pPr>
      <w:r>
        <w:rPr>
          <w:rFonts w:ascii="Calibri" w:hAnsi="Calibri"/>
          <w:b/>
          <w:i/>
          <w:color w:val="595959"/>
          <w:sz w:val="24"/>
        </w:rPr>
        <w:t>Entité 2 — Assumption (Hypothèse paramétrable)</w:t>
      </w:r>
    </w:p>
    <w:p>
      <w:pPr>
        <w:pStyle w:val="ListBullet"/>
        <w:spacing w:after="60"/>
        <w:ind w:left="340"/>
      </w:pPr>
      <w:r>
        <w:rPr>
          <w:rFonts w:ascii="Calibri" w:hAnsi="Calibri"/>
          <w:sz w:val="22"/>
        </w:rPr>
        <w:t>Code unique stable (ex. macro.inflation, commercial.hit_rate)</w:t>
      </w:r>
    </w:p>
    <w:p>
      <w:pPr>
        <w:pStyle w:val="ListBullet"/>
        <w:spacing w:after="60"/>
        <w:ind w:left="340"/>
      </w:pPr>
      <w:r>
        <w:rPr>
          <w:rFonts w:ascii="Calibri" w:hAnsi="Calibri"/>
          <w:sz w:val="22"/>
        </w:rPr>
        <w:t>Catégorie sectorielle, libellé, unité, format d'affichage</w:t>
      </w:r>
    </w:p>
    <w:p>
      <w:pPr>
        <w:pStyle w:val="ListBullet"/>
        <w:spacing w:after="60"/>
        <w:ind w:left="340"/>
      </w:pPr>
      <w:r>
        <w:rPr>
          <w:rFonts w:ascii="Calibri" w:hAnsi="Calibri"/>
          <w:sz w:val="22"/>
        </w:rPr>
        <w:t>Valeurs par période (vecteur temporel), par scénario</w:t>
      </w:r>
    </w:p>
    <w:p>
      <w:pPr>
        <w:pStyle w:val="ListBullet"/>
        <w:spacing w:after="60"/>
        <w:ind w:left="340"/>
      </w:pPr>
      <w:r>
        <w:rPr>
          <w:rFonts w:ascii="Calibri" w:hAnsi="Calibri"/>
          <w:sz w:val="22"/>
        </w:rPr>
        <w:t>Source documentaire (référence, date, URL), commentaire utilisateur</w:t>
      </w:r>
    </w:p>
    <w:p>
      <w:pPr>
        <w:pStyle w:val="ListBullet"/>
        <w:spacing w:after="60"/>
        <w:ind w:left="340"/>
      </w:pPr>
      <w:r>
        <w:rPr>
          <w:rFonts w:ascii="Calibri" w:hAnsi="Calibri"/>
          <w:sz w:val="22"/>
        </w:rPr>
        <w:t>Règles de validation (bornes min/max, contraintes inter-hypothèses)</w:t>
      </w:r>
    </w:p>
    <w:p>
      <w:pPr>
        <w:pStyle w:val="Heading4"/>
        <w:spacing w:before="180" w:after="120"/>
      </w:pPr>
      <w:r>
        <w:rPr>
          <w:rFonts w:ascii="Calibri" w:hAnsi="Calibri"/>
          <w:b/>
          <w:i/>
          <w:color w:val="595959"/>
          <w:sz w:val="24"/>
        </w:rPr>
        <w:t>Entité 3 — Calculation (Règle de calcul)</w:t>
      </w:r>
    </w:p>
    <w:p>
      <w:pPr>
        <w:pStyle w:val="ListBullet"/>
        <w:spacing w:after="60"/>
        <w:ind w:left="340"/>
      </w:pPr>
      <w:r>
        <w:rPr>
          <w:rFonts w:ascii="Calibri" w:hAnsi="Calibri"/>
          <w:sz w:val="22"/>
        </w:rPr>
        <w:t>Formule exprimée en DSL interne (ou en formules nommées de type Excel)</w:t>
      </w:r>
    </w:p>
    <w:p>
      <w:pPr>
        <w:pStyle w:val="ListBullet"/>
        <w:spacing w:after="60"/>
        <w:ind w:left="340"/>
      </w:pPr>
      <w:r>
        <w:rPr>
          <w:rFonts w:ascii="Calibri" w:hAnsi="Calibri"/>
          <w:sz w:val="22"/>
        </w:rPr>
        <w:t>Dépendances explicites vers les inputs et autres calculations</w:t>
      </w:r>
    </w:p>
    <w:p>
      <w:pPr>
        <w:pStyle w:val="ListBullet"/>
        <w:spacing w:after="60"/>
        <w:ind w:left="340"/>
      </w:pPr>
      <w:r>
        <w:rPr>
          <w:rFonts w:ascii="Calibri" w:hAnsi="Calibri"/>
          <w:sz w:val="22"/>
        </w:rPr>
        <w:t>Granularité temporelle (mensuel, trimestriel, annuel)</w:t>
      </w:r>
    </w:p>
    <w:p>
      <w:pPr>
        <w:pStyle w:val="ListBullet"/>
        <w:spacing w:after="60"/>
        <w:ind w:left="340"/>
      </w:pPr>
      <w:r>
        <w:rPr>
          <w:rFonts w:ascii="Calibri" w:hAnsi="Calibri"/>
          <w:sz w:val="22"/>
        </w:rPr>
        <w:t>Norme(s) comptable(s) concernée(s) — certaines calculations existent en double SYSCOHADA et IFRS</w:t>
      </w:r>
    </w:p>
    <w:p>
      <w:pPr>
        <w:pStyle w:val="Heading4"/>
        <w:spacing w:before="180" w:after="120"/>
      </w:pPr>
      <w:r>
        <w:rPr>
          <w:rFonts w:ascii="Calibri" w:hAnsi="Calibri"/>
          <w:b/>
          <w:i/>
          <w:color w:val="595959"/>
          <w:sz w:val="24"/>
        </w:rPr>
        <w:t>Entité 4 — Output (Bloc de sortie)</w:t>
      </w:r>
    </w:p>
    <w:p>
      <w:pPr>
        <w:pStyle w:val="ListBullet"/>
        <w:spacing w:after="60"/>
        <w:ind w:left="340"/>
      </w:pPr>
      <w:r>
        <w:rPr>
          <w:rFonts w:ascii="Calibri" w:hAnsi="Calibri"/>
          <w:sz w:val="22"/>
        </w:rPr>
        <w:t>Structure tabulaire, hiérarchie de postes, niveaux d'agrégation</w:t>
      </w:r>
    </w:p>
    <w:p>
      <w:pPr>
        <w:pStyle w:val="ListBullet"/>
        <w:spacing w:after="60"/>
        <w:ind w:left="340"/>
      </w:pPr>
      <w:r>
        <w:rPr>
          <w:rFonts w:ascii="Calibri" w:hAnsi="Calibri"/>
          <w:sz w:val="22"/>
        </w:rPr>
        <w:t>Mapping vers une présentation comptable normée</w:t>
      </w:r>
    </w:p>
    <w:p>
      <w:pPr>
        <w:pStyle w:val="ListBullet"/>
        <w:spacing w:after="60"/>
        <w:ind w:left="340"/>
      </w:pPr>
      <w:r>
        <w:rPr>
          <w:rFonts w:ascii="Calibri" w:hAnsi="Calibri"/>
          <w:sz w:val="22"/>
        </w:rPr>
        <w:t>Format d'export (Excel, PDF, données JSON pour intégration BI)</w:t>
      </w:r>
    </w:p>
    <w:p>
      <w:pPr>
        <w:pStyle w:val="Heading4"/>
        <w:spacing w:before="180" w:after="120"/>
      </w:pPr>
      <w:r>
        <w:rPr>
          <w:rFonts w:ascii="Calibri" w:hAnsi="Calibri"/>
          <w:b/>
          <w:i/>
          <w:color w:val="595959"/>
          <w:sz w:val="24"/>
        </w:rPr>
        <w:t>Entité 5 — Audit Trail (Journal d'audit)</w:t>
      </w:r>
    </w:p>
    <w:p>
      <w:pPr>
        <w:pStyle w:val="ListBullet"/>
        <w:spacing w:after="60"/>
        <w:ind w:left="340"/>
      </w:pPr>
      <w:r>
        <w:rPr>
          <w:rFonts w:ascii="Calibri" w:hAnsi="Calibri"/>
          <w:sz w:val="22"/>
        </w:rPr>
        <w:t>Toute modification d'hypothèse, de formule, de structure est tracée</w:t>
      </w:r>
    </w:p>
    <w:p>
      <w:pPr>
        <w:pStyle w:val="ListBullet"/>
        <w:spacing w:after="60"/>
        <w:ind w:left="340"/>
      </w:pPr>
      <w:r>
        <w:rPr>
          <w:rFonts w:ascii="Calibri" w:hAnsi="Calibri"/>
          <w:sz w:val="22"/>
        </w:rPr>
        <w:t>Utilisateur, timestamp, valeurs avant/après, motif obligatoire pour publications</w:t>
      </w:r>
    </w:p>
    <w:p>
      <w:pPr>
        <w:pStyle w:val="ListBullet"/>
        <w:spacing w:after="60"/>
        <w:ind w:left="340"/>
      </w:pPr>
      <w:r>
        <w:rPr>
          <w:rFonts w:ascii="Calibri" w:hAnsi="Calibri"/>
          <w:sz w:val="22"/>
        </w:rPr>
        <w:t>Conservation 10 ans (conformité aux obligations comptables OHADA)</w:t>
      </w:r>
    </w:p>
    <w:p>
      <w:pPr>
        <w:pStyle w:val="Heading2"/>
        <w:spacing w:before="240" w:after="120"/>
      </w:pPr>
      <w:r>
        <w:rPr>
          <w:rFonts w:ascii="Calibri" w:hAnsi="Calibri"/>
          <w:b/>
          <w:color w:val="0A2540"/>
          <w:sz w:val="30"/>
        </w:rPr>
        <w:t>2.3 Moteur de calcul</w:t>
      </w:r>
    </w:p>
    <w:p>
      <w:pPr>
        <w:spacing w:before="0" w:after="120"/>
        <w:jc w:val="both"/>
      </w:pPr>
      <w:r>
        <w:rPr>
          <w:rFonts w:ascii="Calibri" w:hAnsi="Calibri"/>
          <w:b w:val="0"/>
          <w:i w:val="0"/>
          <w:color w:val="000000"/>
          <w:sz w:val="22"/>
        </w:rPr>
        <w:t>Le moteur de calcul est un graphe orienté acyclique (DAG) où chaque nœud représente une variable temporelle. La résolution s'effectue par tri topologique. Pour les boucles légitimes (BFR ↔ besoin de financement ↔ frais financiers ↔ résultat ↔ BFR), un solveur itératif convergent (Newton-Raphson amorti) est implémenté avec critère d'arrêt à 0,01% de variation entre itérations.</w:t>
      </w:r>
    </w:p>
    <w:tbl>
      <w:tblPr>
        <w:tblW w:type="auto" w:w="0"/>
        <w:tblLook w:firstColumn="1" w:firstRow="1" w:lastColumn="0" w:lastRow="0" w:noHBand="0" w:noVBand="1" w:val="04A0"/>
      </w:tblPr>
      <w:tblGrid>
        <w:gridCol w:w="9406"/>
      </w:tblGrid>
      <w:tr>
        <w:tc>
          <w:tcPr>
            <w:tcW w:type="dxa" w:w="9406"/>
            <w:shd w:val="clear" w:color="auto" w:fill="D6E0EC"/>
            <w:tcBorders>
              <w:top w:val="single" w:sz="12" w:color="0A2540"/>
              <w:bottom w:val="single" w:sz="4" w:color="0A2540"/>
              <w:left w:val="single" w:sz="24" w:color="0A2540"/>
              <w:right w:val="single" w:sz="4" w:color="0A2540"/>
            </w:tcBorders>
          </w:tcPr>
          <w:p>
            <w:r>
              <w:rPr>
                <w:rFonts w:ascii="Calibri" w:hAnsi="Calibri"/>
                <w:b/>
                <w:color w:val="0A2540"/>
                <w:sz w:val="22"/>
              </w:rPr>
              <w:t>Choix technique critique</w:t>
            </w:r>
          </w:p>
          <w:p>
            <w:pPr>
              <w:jc w:val="both"/>
            </w:pPr>
            <w:r>
              <w:rPr>
                <w:rFonts w:ascii="Calibri" w:hAnsi="Calibri"/>
                <w:sz w:val="22"/>
              </w:rPr>
              <w:t>Le moteur de calcul doit être implémenté en deux versions : (1) version Excel-compatible — export du modèle complet sous forme de classeur fonctionnel avec formules natives ; (2) version moteur natif — calcul côté serveur en Python ou Rust pour les très gros modèles. Les deux versions doivent produire des résultats numériquement identiques à 10⁻⁶ près. Cette double implémentation est essentielle pour que les utilisateurs puissent travailler hors ligne ou intégrer le modèle dans leurs propres workflows.</w:t>
            </w:r>
          </w:p>
        </w:tc>
      </w:tr>
    </w:tbl>
    <w:p>
      <w:pPr>
        <w:spacing w:after="120"/>
      </w:pPr>
    </w:p>
    <w:p>
      <w:pPr>
        <w:pStyle w:val="Heading2"/>
        <w:spacing w:before="240" w:after="120"/>
      </w:pPr>
      <w:r>
        <w:rPr>
          <w:rFonts w:ascii="Calibri" w:hAnsi="Calibri"/>
          <w:b/>
          <w:color w:val="0A2540"/>
          <w:sz w:val="30"/>
        </w:rPr>
        <w:t>2.4 Intrants standardisés</w:t>
      </w:r>
    </w:p>
    <w:p>
      <w:pPr>
        <w:spacing w:before="0" w:after="120"/>
        <w:jc w:val="both"/>
      </w:pPr>
      <w:r>
        <w:rPr>
          <w:rFonts w:ascii="Calibri" w:hAnsi="Calibri"/>
          <w:b w:val="0"/>
          <w:i w:val="0"/>
          <w:color w:val="000000"/>
          <w:sz w:val="22"/>
        </w:rPr>
        <w:t>Tous les templates partagent un noyau d'intrants génériques, complétés par des intrants sectoriels spécifiques détaillés dans le chapitre 5.</w:t>
      </w:r>
    </w:p>
    <w:p>
      <w:pPr>
        <w:pStyle w:val="Heading3"/>
        <w:spacing w:before="180" w:after="120"/>
      </w:pPr>
      <w:r>
        <w:rPr>
          <w:rFonts w:ascii="Calibri" w:hAnsi="Calibri"/>
          <w:b/>
          <w:color w:val="0A2540"/>
          <w:sz w:val="26"/>
        </w:rPr>
        <w:t>Intrants génériques (présents dans tous les secteurs)</w:t>
      </w:r>
    </w:p>
    <w:tbl>
      <w:tblPr>
        <w:tblW w:type="auto" w:w="0"/>
        <w:jc w:val="center"/>
        <w:tblLayout w:type="fixed"/>
        <w:tblLook w:firstColumn="1" w:firstRow="1" w:lastColumn="0" w:lastRow="0" w:noHBand="0" w:noVBand="1" w:val="04A0"/>
      </w:tblPr>
      <w:tblGrid>
        <w:gridCol w:w="3135"/>
        <w:gridCol w:w="3135"/>
        <w:gridCol w:w="3135"/>
      </w:tblGrid>
      <w:tr>
        <w:tc>
          <w:tcPr>
            <w:tcW w:type="dxa" w:w="2268"/>
            <w:shd w:val="clear" w:color="auto" w:fill="0A2540"/>
            <w:tcBorders>
              <w:top w:val="single" w:sz="4" w:color="BFBFBF"/>
              <w:left w:val="single" w:sz="4" w:color="BFBFBF"/>
              <w:bottom w:val="single" w:sz="4" w:color="BFBFBF"/>
              <w:right w:val="single" w:sz="4" w:color="BFBFBF"/>
            </w:tcBorders>
            <w:vAlign w:val="center"/>
          </w:tcPr>
          <w:p>
            <w:pPr>
              <w:jc w:val="center"/>
            </w:pPr>
            <w:r>
              <w:rPr>
                <w:rFonts w:ascii="Calibri" w:hAnsi="Calibri"/>
                <w:b/>
                <w:color w:val="FFFFFF"/>
                <w:sz w:val="20"/>
              </w:rPr>
              <w:t>Catégorie</w:t>
            </w:r>
          </w:p>
        </w:tc>
        <w:tc>
          <w:tcPr>
            <w:tcW w:type="dxa" w:w="5102"/>
            <w:shd w:val="clear" w:color="auto" w:fill="0A2540"/>
            <w:tcBorders>
              <w:top w:val="single" w:sz="4" w:color="BFBFBF"/>
              <w:left w:val="single" w:sz="4" w:color="BFBFBF"/>
              <w:bottom w:val="single" w:sz="4" w:color="BFBFBF"/>
              <w:right w:val="single" w:sz="4" w:color="BFBFBF"/>
            </w:tcBorders>
            <w:vAlign w:val="center"/>
          </w:tcPr>
          <w:p>
            <w:pPr>
              <w:jc w:val="center"/>
            </w:pPr>
            <w:r>
              <w:rPr>
                <w:rFonts w:ascii="Calibri" w:hAnsi="Calibri"/>
                <w:b/>
                <w:color w:val="FFFFFF"/>
                <w:sz w:val="20"/>
              </w:rPr>
              <w:t>Hypothèses standard</w:t>
            </w:r>
          </w:p>
        </w:tc>
        <w:tc>
          <w:tcPr>
            <w:tcW w:type="dxa" w:w="2268"/>
            <w:shd w:val="clear" w:color="auto" w:fill="0A2540"/>
            <w:tcBorders>
              <w:top w:val="single" w:sz="4" w:color="BFBFBF"/>
              <w:left w:val="single" w:sz="4" w:color="BFBFBF"/>
              <w:bottom w:val="single" w:sz="4" w:color="BFBFBF"/>
              <w:right w:val="single" w:sz="4" w:color="BFBFBF"/>
            </w:tcBorders>
            <w:vAlign w:val="center"/>
          </w:tcPr>
          <w:p>
            <w:pPr>
              <w:jc w:val="center"/>
            </w:pPr>
            <w:r>
              <w:rPr>
                <w:rFonts w:ascii="Calibri" w:hAnsi="Calibri"/>
                <w:b/>
                <w:color w:val="FFFFFF"/>
                <w:sz w:val="20"/>
              </w:rPr>
              <w:t>Format</w:t>
            </w:r>
          </w:p>
        </w:tc>
      </w:tr>
      <w:tr>
        <w:tc>
          <w:tcPr>
            <w:tcW w:type="dxa" w:w="2268"/>
            <w:tcBorders>
              <w:top w:val="single" w:sz="4" w:color="BFBFBF"/>
              <w:left w:val="single" w:sz="4" w:color="BFBFBF"/>
              <w:bottom w:val="single" w:sz="4" w:color="BFBFBF"/>
              <w:right w:val="single" w:sz="4" w:color="BFBFBF"/>
            </w:tcBorders>
            <w:vAlign w:val="center"/>
          </w:tcPr>
          <w:p>
            <w:r>
              <w:rPr>
                <w:rFonts w:ascii="Calibri" w:hAnsi="Calibri"/>
                <w:sz w:val="20"/>
              </w:rPr>
              <w:t>Macro-économique</w:t>
            </w:r>
          </w:p>
        </w:tc>
        <w:tc>
          <w:tcPr>
            <w:tcW w:type="dxa" w:w="5102"/>
            <w:tcBorders>
              <w:top w:val="single" w:sz="4" w:color="BFBFBF"/>
              <w:left w:val="single" w:sz="4" w:color="BFBFBF"/>
              <w:bottom w:val="single" w:sz="4" w:color="BFBFBF"/>
              <w:right w:val="single" w:sz="4" w:color="BFBFBF"/>
            </w:tcBorders>
            <w:vAlign w:val="center"/>
          </w:tcPr>
          <w:p>
            <w:r>
              <w:rPr>
                <w:rFonts w:ascii="Calibri" w:hAnsi="Calibri"/>
                <w:sz w:val="20"/>
              </w:rPr>
              <w:t>Inflation, taux directeur, taux de change, croissance du PIB</w:t>
            </w:r>
          </w:p>
        </w:tc>
        <w:tc>
          <w:tcPr>
            <w:tcW w:type="dxa" w:w="2268"/>
            <w:tcBorders>
              <w:top w:val="single" w:sz="4" w:color="BFBFBF"/>
              <w:left w:val="single" w:sz="4" w:color="BFBFBF"/>
              <w:bottom w:val="single" w:sz="4" w:color="BFBFBF"/>
              <w:right w:val="single" w:sz="4" w:color="BFBFBF"/>
            </w:tcBorders>
            <w:vAlign w:val="center"/>
          </w:tcPr>
          <w:p>
            <w:r>
              <w:rPr>
                <w:rFonts w:ascii="Calibri" w:hAnsi="Calibri"/>
                <w:sz w:val="20"/>
              </w:rPr>
              <w:t>% par période</w:t>
            </w:r>
          </w:p>
        </w:tc>
      </w:tr>
      <w:tr>
        <w:tc>
          <w:tcPr>
            <w:tcW w:type="dxa" w:w="2268"/>
            <w:shd w:val="clear" w:color="auto" w:fill="F2F2F2"/>
            <w:tcBorders>
              <w:top w:val="single" w:sz="4" w:color="BFBFBF"/>
              <w:left w:val="single" w:sz="4" w:color="BFBFBF"/>
              <w:bottom w:val="single" w:sz="4" w:color="BFBFBF"/>
              <w:right w:val="single" w:sz="4" w:color="BFBFBF"/>
            </w:tcBorders>
            <w:vAlign w:val="center"/>
          </w:tcPr>
          <w:p>
            <w:r>
              <w:rPr>
                <w:rFonts w:ascii="Calibri" w:hAnsi="Calibri"/>
                <w:sz w:val="20"/>
              </w:rPr>
              <w:t>Fiscalité</w:t>
            </w:r>
          </w:p>
        </w:tc>
        <w:tc>
          <w:tcPr>
            <w:tcW w:type="dxa" w:w="5102"/>
            <w:shd w:val="clear" w:color="auto" w:fill="F2F2F2"/>
            <w:tcBorders>
              <w:top w:val="single" w:sz="4" w:color="BFBFBF"/>
              <w:left w:val="single" w:sz="4" w:color="BFBFBF"/>
              <w:bottom w:val="single" w:sz="4" w:color="BFBFBF"/>
              <w:right w:val="single" w:sz="4" w:color="BFBFBF"/>
            </w:tcBorders>
            <w:vAlign w:val="center"/>
          </w:tcPr>
          <w:p>
            <w:r>
              <w:rPr>
                <w:rFonts w:ascii="Calibri" w:hAnsi="Calibri"/>
                <w:sz w:val="20"/>
              </w:rPr>
              <w:t>Taux IS, TVA, retenues à la source, taxes spécifiques</w:t>
            </w:r>
          </w:p>
        </w:tc>
        <w:tc>
          <w:tcPr>
            <w:tcW w:type="dxa" w:w="2268"/>
            <w:shd w:val="clear" w:color="auto" w:fill="F2F2F2"/>
            <w:tcBorders>
              <w:top w:val="single" w:sz="4" w:color="BFBFBF"/>
              <w:left w:val="single" w:sz="4" w:color="BFBFBF"/>
              <w:bottom w:val="single" w:sz="4" w:color="BFBFBF"/>
              <w:right w:val="single" w:sz="4" w:color="BFBFBF"/>
            </w:tcBorders>
            <w:vAlign w:val="center"/>
          </w:tcPr>
          <w:p>
            <w:r>
              <w:rPr>
                <w:rFonts w:ascii="Calibri" w:hAnsi="Calibri"/>
                <w:sz w:val="20"/>
              </w:rPr>
              <w:t>% par juridiction</w:t>
            </w:r>
          </w:p>
        </w:tc>
      </w:tr>
      <w:tr>
        <w:tc>
          <w:tcPr>
            <w:tcW w:type="dxa" w:w="2268"/>
            <w:tcBorders>
              <w:top w:val="single" w:sz="4" w:color="BFBFBF"/>
              <w:left w:val="single" w:sz="4" w:color="BFBFBF"/>
              <w:bottom w:val="single" w:sz="4" w:color="BFBFBF"/>
              <w:right w:val="single" w:sz="4" w:color="BFBFBF"/>
            </w:tcBorders>
            <w:vAlign w:val="center"/>
          </w:tcPr>
          <w:p>
            <w:r>
              <w:rPr>
                <w:rFonts w:ascii="Calibri" w:hAnsi="Calibri"/>
                <w:sz w:val="20"/>
              </w:rPr>
              <w:t>Horizon temporel</w:t>
            </w:r>
          </w:p>
        </w:tc>
        <w:tc>
          <w:tcPr>
            <w:tcW w:type="dxa" w:w="5102"/>
            <w:tcBorders>
              <w:top w:val="single" w:sz="4" w:color="BFBFBF"/>
              <w:left w:val="single" w:sz="4" w:color="BFBFBF"/>
              <w:bottom w:val="single" w:sz="4" w:color="BFBFBF"/>
              <w:right w:val="single" w:sz="4" w:color="BFBFBF"/>
            </w:tcBorders>
            <w:vAlign w:val="center"/>
          </w:tcPr>
          <w:p>
            <w:r>
              <w:rPr>
                <w:rFonts w:ascii="Calibri" w:hAnsi="Calibri"/>
                <w:sz w:val="20"/>
              </w:rPr>
              <w:t>Date de début, durée (années), granularité</w:t>
            </w:r>
          </w:p>
        </w:tc>
        <w:tc>
          <w:tcPr>
            <w:tcW w:type="dxa" w:w="2268"/>
            <w:tcBorders>
              <w:top w:val="single" w:sz="4" w:color="BFBFBF"/>
              <w:left w:val="single" w:sz="4" w:color="BFBFBF"/>
              <w:bottom w:val="single" w:sz="4" w:color="BFBFBF"/>
              <w:right w:val="single" w:sz="4" w:color="BFBFBF"/>
            </w:tcBorders>
            <w:vAlign w:val="center"/>
          </w:tcPr>
          <w:p>
            <w:r>
              <w:rPr>
                <w:rFonts w:ascii="Calibri" w:hAnsi="Calibri"/>
                <w:sz w:val="20"/>
              </w:rPr>
              <w:t>Date, entier, énum</w:t>
            </w:r>
          </w:p>
        </w:tc>
      </w:tr>
      <w:tr>
        <w:tc>
          <w:tcPr>
            <w:tcW w:type="dxa" w:w="2268"/>
            <w:shd w:val="clear" w:color="auto" w:fill="F2F2F2"/>
            <w:tcBorders>
              <w:top w:val="single" w:sz="4" w:color="BFBFBF"/>
              <w:left w:val="single" w:sz="4" w:color="BFBFBF"/>
              <w:bottom w:val="single" w:sz="4" w:color="BFBFBF"/>
              <w:right w:val="single" w:sz="4" w:color="BFBFBF"/>
            </w:tcBorders>
            <w:vAlign w:val="center"/>
          </w:tcPr>
          <w:p>
            <w:r>
              <w:rPr>
                <w:rFonts w:ascii="Calibri" w:hAnsi="Calibri"/>
                <w:sz w:val="20"/>
              </w:rPr>
              <w:t>Structure capital</w:t>
            </w:r>
          </w:p>
        </w:tc>
        <w:tc>
          <w:tcPr>
            <w:tcW w:type="dxa" w:w="5102"/>
            <w:shd w:val="clear" w:color="auto" w:fill="F2F2F2"/>
            <w:tcBorders>
              <w:top w:val="single" w:sz="4" w:color="BFBFBF"/>
              <w:left w:val="single" w:sz="4" w:color="BFBFBF"/>
              <w:bottom w:val="single" w:sz="4" w:color="BFBFBF"/>
              <w:right w:val="single" w:sz="4" w:color="BFBFBF"/>
            </w:tcBorders>
            <w:vAlign w:val="center"/>
          </w:tcPr>
          <w:p>
            <w:r>
              <w:rPr>
                <w:rFonts w:ascii="Calibri" w:hAnsi="Calibri"/>
                <w:sz w:val="20"/>
              </w:rPr>
              <w:t>Capital initial, dette long terme, dette court terme, taux d'intérêt</w:t>
            </w:r>
          </w:p>
        </w:tc>
        <w:tc>
          <w:tcPr>
            <w:tcW w:type="dxa" w:w="2268"/>
            <w:shd w:val="clear" w:color="auto" w:fill="F2F2F2"/>
            <w:tcBorders>
              <w:top w:val="single" w:sz="4" w:color="BFBFBF"/>
              <w:left w:val="single" w:sz="4" w:color="BFBFBF"/>
              <w:bottom w:val="single" w:sz="4" w:color="BFBFBF"/>
              <w:right w:val="single" w:sz="4" w:color="BFBFBF"/>
            </w:tcBorders>
            <w:vAlign w:val="center"/>
          </w:tcPr>
          <w:p>
            <w:r>
              <w:rPr>
                <w:rFonts w:ascii="Calibri" w:hAnsi="Calibri"/>
                <w:sz w:val="20"/>
              </w:rPr>
              <w:t>FCFA, %</w:t>
            </w:r>
          </w:p>
        </w:tc>
      </w:tr>
      <w:tr>
        <w:tc>
          <w:tcPr>
            <w:tcW w:type="dxa" w:w="2268"/>
            <w:tcBorders>
              <w:top w:val="single" w:sz="4" w:color="BFBFBF"/>
              <w:left w:val="single" w:sz="4" w:color="BFBFBF"/>
              <w:bottom w:val="single" w:sz="4" w:color="BFBFBF"/>
              <w:right w:val="single" w:sz="4" w:color="BFBFBF"/>
            </w:tcBorders>
            <w:vAlign w:val="center"/>
          </w:tcPr>
          <w:p>
            <w:r>
              <w:rPr>
                <w:rFonts w:ascii="Calibri" w:hAnsi="Calibri"/>
                <w:sz w:val="20"/>
              </w:rPr>
              <w:t>RH structure</w:t>
            </w:r>
          </w:p>
        </w:tc>
        <w:tc>
          <w:tcPr>
            <w:tcW w:type="dxa" w:w="5102"/>
            <w:tcBorders>
              <w:top w:val="single" w:sz="4" w:color="BFBFBF"/>
              <w:left w:val="single" w:sz="4" w:color="BFBFBF"/>
              <w:bottom w:val="single" w:sz="4" w:color="BFBFBF"/>
              <w:right w:val="single" w:sz="4" w:color="BFBFBF"/>
            </w:tcBorders>
            <w:vAlign w:val="center"/>
          </w:tcPr>
          <w:p>
            <w:r>
              <w:rPr>
                <w:rFonts w:ascii="Calibri" w:hAnsi="Calibri"/>
                <w:sz w:val="20"/>
              </w:rPr>
              <w:t>ETP par catégorie, salaire chargé moyen, taux de croissance</w:t>
            </w:r>
          </w:p>
        </w:tc>
        <w:tc>
          <w:tcPr>
            <w:tcW w:type="dxa" w:w="2268"/>
            <w:tcBorders>
              <w:top w:val="single" w:sz="4" w:color="BFBFBF"/>
              <w:left w:val="single" w:sz="4" w:color="BFBFBF"/>
              <w:bottom w:val="single" w:sz="4" w:color="BFBFBF"/>
              <w:right w:val="single" w:sz="4" w:color="BFBFBF"/>
            </w:tcBorders>
            <w:vAlign w:val="center"/>
          </w:tcPr>
          <w:p>
            <w:r>
              <w:rPr>
                <w:rFonts w:ascii="Calibri" w:hAnsi="Calibri"/>
                <w:sz w:val="20"/>
              </w:rPr>
              <w:t>Nb, FCFA, %</w:t>
            </w:r>
          </w:p>
        </w:tc>
      </w:tr>
      <w:tr>
        <w:tc>
          <w:tcPr>
            <w:tcW w:type="dxa" w:w="2268"/>
            <w:shd w:val="clear" w:color="auto" w:fill="F2F2F2"/>
            <w:tcBorders>
              <w:top w:val="single" w:sz="4" w:color="BFBFBF"/>
              <w:left w:val="single" w:sz="4" w:color="BFBFBF"/>
              <w:bottom w:val="single" w:sz="4" w:color="BFBFBF"/>
              <w:right w:val="single" w:sz="4" w:color="BFBFBF"/>
            </w:tcBorders>
            <w:vAlign w:val="center"/>
          </w:tcPr>
          <w:p>
            <w:r>
              <w:rPr>
                <w:rFonts w:ascii="Calibri" w:hAnsi="Calibri"/>
                <w:sz w:val="20"/>
              </w:rPr>
              <w:t>Charges fixes</w:t>
            </w:r>
          </w:p>
        </w:tc>
        <w:tc>
          <w:tcPr>
            <w:tcW w:type="dxa" w:w="5102"/>
            <w:shd w:val="clear" w:color="auto" w:fill="F2F2F2"/>
            <w:tcBorders>
              <w:top w:val="single" w:sz="4" w:color="BFBFBF"/>
              <w:left w:val="single" w:sz="4" w:color="BFBFBF"/>
              <w:bottom w:val="single" w:sz="4" w:color="BFBFBF"/>
              <w:right w:val="single" w:sz="4" w:color="BFBFBF"/>
            </w:tcBorders>
            <w:vAlign w:val="center"/>
          </w:tcPr>
          <w:p>
            <w:r>
              <w:rPr>
                <w:rFonts w:ascii="Calibri" w:hAnsi="Calibri"/>
                <w:sz w:val="20"/>
              </w:rPr>
              <w:t>Loyer, énergie, IT, assurances, juridique, marketing</w:t>
            </w:r>
          </w:p>
        </w:tc>
        <w:tc>
          <w:tcPr>
            <w:tcW w:type="dxa" w:w="2268"/>
            <w:shd w:val="clear" w:color="auto" w:fill="F2F2F2"/>
            <w:tcBorders>
              <w:top w:val="single" w:sz="4" w:color="BFBFBF"/>
              <w:left w:val="single" w:sz="4" w:color="BFBFBF"/>
              <w:bottom w:val="single" w:sz="4" w:color="BFBFBF"/>
              <w:right w:val="single" w:sz="4" w:color="BFBFBF"/>
            </w:tcBorders>
            <w:vAlign w:val="center"/>
          </w:tcPr>
          <w:p>
            <w:r>
              <w:rPr>
                <w:rFonts w:ascii="Calibri" w:hAnsi="Calibri"/>
                <w:sz w:val="20"/>
              </w:rPr>
              <w:t>FCFA / mois ou an</w:t>
            </w:r>
          </w:p>
        </w:tc>
      </w:tr>
      <w:tr>
        <w:tc>
          <w:tcPr>
            <w:tcW w:type="dxa" w:w="2268"/>
            <w:tcBorders>
              <w:top w:val="single" w:sz="4" w:color="BFBFBF"/>
              <w:left w:val="single" w:sz="4" w:color="BFBFBF"/>
              <w:bottom w:val="single" w:sz="4" w:color="BFBFBF"/>
              <w:right w:val="single" w:sz="4" w:color="BFBFBF"/>
            </w:tcBorders>
            <w:vAlign w:val="center"/>
          </w:tcPr>
          <w:p>
            <w:r>
              <w:rPr>
                <w:rFonts w:ascii="Calibri" w:hAnsi="Calibri"/>
                <w:sz w:val="20"/>
              </w:rPr>
              <w:t>CAPEX &amp; amortissements</w:t>
            </w:r>
          </w:p>
        </w:tc>
        <w:tc>
          <w:tcPr>
            <w:tcW w:type="dxa" w:w="5102"/>
            <w:tcBorders>
              <w:top w:val="single" w:sz="4" w:color="BFBFBF"/>
              <w:left w:val="single" w:sz="4" w:color="BFBFBF"/>
              <w:bottom w:val="single" w:sz="4" w:color="BFBFBF"/>
              <w:right w:val="single" w:sz="4" w:color="BFBFBF"/>
            </w:tcBorders>
            <w:vAlign w:val="center"/>
          </w:tcPr>
          <w:p>
            <w:r>
              <w:rPr>
                <w:rFonts w:ascii="Calibri" w:hAnsi="Calibri"/>
                <w:sz w:val="20"/>
              </w:rPr>
              <w:t>Investissements par catégorie, durée d'amortissement</w:t>
            </w:r>
          </w:p>
        </w:tc>
        <w:tc>
          <w:tcPr>
            <w:tcW w:type="dxa" w:w="2268"/>
            <w:tcBorders>
              <w:top w:val="single" w:sz="4" w:color="BFBFBF"/>
              <w:left w:val="single" w:sz="4" w:color="BFBFBF"/>
              <w:bottom w:val="single" w:sz="4" w:color="BFBFBF"/>
              <w:right w:val="single" w:sz="4" w:color="BFBFBF"/>
            </w:tcBorders>
            <w:vAlign w:val="center"/>
          </w:tcPr>
          <w:p>
            <w:r>
              <w:rPr>
                <w:rFonts w:ascii="Calibri" w:hAnsi="Calibri"/>
                <w:sz w:val="20"/>
              </w:rPr>
              <w:t>FCFA, années</w:t>
            </w:r>
          </w:p>
        </w:tc>
      </w:tr>
    </w:tbl>
    <w:p>
      <w:pPr>
        <w:spacing w:after="120"/>
      </w:pPr>
    </w:p>
    <w:p>
      <w:pPr>
        <w:pStyle w:val="Heading2"/>
        <w:spacing w:before="240" w:after="120"/>
      </w:pPr>
      <w:r>
        <w:rPr>
          <w:rFonts w:ascii="Calibri" w:hAnsi="Calibri"/>
          <w:b/>
          <w:color w:val="0A2540"/>
          <w:sz w:val="30"/>
        </w:rPr>
        <w:t>2.5 Extrants standardisés</w:t>
      </w:r>
    </w:p>
    <w:tbl>
      <w:tblPr>
        <w:tblW w:type="auto" w:w="0"/>
        <w:jc w:val="center"/>
        <w:tblLayout w:type="fixed"/>
        <w:tblLook w:firstColumn="1" w:firstRow="1" w:lastColumn="0" w:lastRow="0" w:noHBand="0" w:noVBand="1" w:val="04A0"/>
      </w:tblPr>
      <w:tblGrid>
        <w:gridCol w:w="2351"/>
        <w:gridCol w:w="2351"/>
        <w:gridCol w:w="2351"/>
        <w:gridCol w:w="2351"/>
      </w:tblGrid>
      <w:tr>
        <w:tc>
          <w:tcPr>
            <w:tcW w:type="dxa" w:w="2835"/>
            <w:shd w:val="clear" w:color="auto" w:fill="0A2540"/>
            <w:tcBorders>
              <w:top w:val="single" w:sz="4" w:color="BFBFBF"/>
              <w:left w:val="single" w:sz="4" w:color="BFBFBF"/>
              <w:bottom w:val="single" w:sz="4" w:color="BFBFBF"/>
              <w:right w:val="single" w:sz="4" w:color="BFBFBF"/>
            </w:tcBorders>
            <w:vAlign w:val="center"/>
          </w:tcPr>
          <w:p>
            <w:pPr>
              <w:jc w:val="center"/>
            </w:pPr>
            <w:r>
              <w:rPr>
                <w:rFonts w:ascii="Calibri" w:hAnsi="Calibri"/>
                <w:b/>
                <w:color w:val="FFFFFF"/>
                <w:sz w:val="20"/>
              </w:rPr>
              <w:t>Bloc d'extrant</w:t>
            </w:r>
          </w:p>
        </w:tc>
        <w:tc>
          <w:tcPr>
            <w:tcW w:type="dxa" w:w="1984"/>
            <w:shd w:val="clear" w:color="auto" w:fill="0A2540"/>
            <w:tcBorders>
              <w:top w:val="single" w:sz="4" w:color="BFBFBF"/>
              <w:left w:val="single" w:sz="4" w:color="BFBFBF"/>
              <w:bottom w:val="single" w:sz="4" w:color="BFBFBF"/>
              <w:right w:val="single" w:sz="4" w:color="BFBFBF"/>
            </w:tcBorders>
            <w:vAlign w:val="center"/>
          </w:tcPr>
          <w:p>
            <w:pPr>
              <w:jc w:val="center"/>
            </w:pPr>
            <w:r>
              <w:rPr>
                <w:rFonts w:ascii="Calibri" w:hAnsi="Calibri"/>
                <w:b/>
                <w:color w:val="FFFFFF"/>
                <w:sz w:val="20"/>
              </w:rPr>
              <w:t>Périodicité</w:t>
            </w:r>
          </w:p>
        </w:tc>
        <w:tc>
          <w:tcPr>
            <w:tcW w:type="dxa" w:w="2551"/>
            <w:shd w:val="clear" w:color="auto" w:fill="0A2540"/>
            <w:tcBorders>
              <w:top w:val="single" w:sz="4" w:color="BFBFBF"/>
              <w:left w:val="single" w:sz="4" w:color="BFBFBF"/>
              <w:bottom w:val="single" w:sz="4" w:color="BFBFBF"/>
              <w:right w:val="single" w:sz="4" w:color="BFBFBF"/>
            </w:tcBorders>
            <w:vAlign w:val="center"/>
          </w:tcPr>
          <w:p>
            <w:pPr>
              <w:jc w:val="center"/>
            </w:pPr>
            <w:r>
              <w:rPr>
                <w:rFonts w:ascii="Calibri" w:hAnsi="Calibri"/>
                <w:b/>
                <w:color w:val="FFFFFF"/>
                <w:sz w:val="20"/>
              </w:rPr>
              <w:t>Norme(s)</w:t>
            </w:r>
          </w:p>
        </w:tc>
        <w:tc>
          <w:tcPr>
            <w:tcW w:type="dxa" w:w="2268"/>
            <w:shd w:val="clear" w:color="auto" w:fill="0A2540"/>
            <w:tcBorders>
              <w:top w:val="single" w:sz="4" w:color="BFBFBF"/>
              <w:left w:val="single" w:sz="4" w:color="BFBFBF"/>
              <w:bottom w:val="single" w:sz="4" w:color="BFBFBF"/>
              <w:right w:val="single" w:sz="4" w:color="BFBFBF"/>
            </w:tcBorders>
            <w:vAlign w:val="center"/>
          </w:tcPr>
          <w:p>
            <w:pPr>
              <w:jc w:val="center"/>
            </w:pPr>
            <w:r>
              <w:rPr>
                <w:rFonts w:ascii="Calibri" w:hAnsi="Calibri"/>
                <w:b/>
                <w:color w:val="FFFFFF"/>
                <w:sz w:val="20"/>
              </w:rPr>
              <w:t>Horizon</w:t>
            </w:r>
          </w:p>
        </w:tc>
      </w:tr>
      <w:tr>
        <w:tc>
          <w:tcPr>
            <w:tcW w:type="dxa" w:w="2835"/>
            <w:tcBorders>
              <w:top w:val="single" w:sz="4" w:color="BFBFBF"/>
              <w:left w:val="single" w:sz="4" w:color="BFBFBF"/>
              <w:bottom w:val="single" w:sz="4" w:color="BFBFBF"/>
              <w:right w:val="single" w:sz="4" w:color="BFBFBF"/>
            </w:tcBorders>
            <w:vAlign w:val="center"/>
          </w:tcPr>
          <w:p>
            <w:r>
              <w:rPr>
                <w:rFonts w:ascii="Calibri" w:hAnsi="Calibri"/>
                <w:sz w:val="20"/>
              </w:rPr>
              <w:t>Compte de résultat (P&amp;L)</w:t>
            </w:r>
          </w:p>
        </w:tc>
        <w:tc>
          <w:tcPr>
            <w:tcW w:type="dxa" w:w="1984"/>
            <w:tcBorders>
              <w:top w:val="single" w:sz="4" w:color="BFBFBF"/>
              <w:left w:val="single" w:sz="4" w:color="BFBFBF"/>
              <w:bottom w:val="single" w:sz="4" w:color="BFBFBF"/>
              <w:right w:val="single" w:sz="4" w:color="BFBFBF"/>
            </w:tcBorders>
            <w:vAlign w:val="center"/>
          </w:tcPr>
          <w:p>
            <w:r>
              <w:rPr>
                <w:rFonts w:ascii="Calibri" w:hAnsi="Calibri"/>
                <w:sz w:val="20"/>
              </w:rPr>
              <w:t>Annuel + mensuel Y1</w:t>
            </w:r>
          </w:p>
        </w:tc>
        <w:tc>
          <w:tcPr>
            <w:tcW w:type="dxa" w:w="2551"/>
            <w:tcBorders>
              <w:top w:val="single" w:sz="4" w:color="BFBFBF"/>
              <w:left w:val="single" w:sz="4" w:color="BFBFBF"/>
              <w:bottom w:val="single" w:sz="4" w:color="BFBFBF"/>
              <w:right w:val="single" w:sz="4" w:color="BFBFBF"/>
            </w:tcBorders>
            <w:vAlign w:val="center"/>
          </w:tcPr>
          <w:p>
            <w:r>
              <w:rPr>
                <w:rFonts w:ascii="Calibri" w:hAnsi="Calibri"/>
                <w:sz w:val="20"/>
              </w:rPr>
              <w:t>SYSCOHADA + IFRS</w:t>
            </w:r>
          </w:p>
        </w:tc>
        <w:tc>
          <w:tcPr>
            <w:tcW w:type="dxa" w:w="2268"/>
            <w:tcBorders>
              <w:top w:val="single" w:sz="4" w:color="BFBFBF"/>
              <w:left w:val="single" w:sz="4" w:color="BFBFBF"/>
              <w:bottom w:val="single" w:sz="4" w:color="BFBFBF"/>
              <w:right w:val="single" w:sz="4" w:color="BFBFBF"/>
            </w:tcBorders>
            <w:vAlign w:val="center"/>
          </w:tcPr>
          <w:p>
            <w:r>
              <w:rPr>
                <w:rFonts w:ascii="Calibri" w:hAnsi="Calibri"/>
                <w:sz w:val="20"/>
              </w:rPr>
              <w:t>5 ans</w:t>
            </w:r>
          </w:p>
        </w:tc>
      </w:tr>
      <w:tr>
        <w:tc>
          <w:tcPr>
            <w:tcW w:type="dxa" w:w="2835"/>
            <w:shd w:val="clear" w:color="auto" w:fill="F2F2F2"/>
            <w:tcBorders>
              <w:top w:val="single" w:sz="4" w:color="BFBFBF"/>
              <w:left w:val="single" w:sz="4" w:color="BFBFBF"/>
              <w:bottom w:val="single" w:sz="4" w:color="BFBFBF"/>
              <w:right w:val="single" w:sz="4" w:color="BFBFBF"/>
            </w:tcBorders>
            <w:vAlign w:val="center"/>
          </w:tcPr>
          <w:p>
            <w:r>
              <w:rPr>
                <w:rFonts w:ascii="Calibri" w:hAnsi="Calibri"/>
                <w:sz w:val="20"/>
              </w:rPr>
              <w:t>Bilan</w:t>
            </w:r>
          </w:p>
        </w:tc>
        <w:tc>
          <w:tcPr>
            <w:tcW w:type="dxa" w:w="1984"/>
            <w:shd w:val="clear" w:color="auto" w:fill="F2F2F2"/>
            <w:tcBorders>
              <w:top w:val="single" w:sz="4" w:color="BFBFBF"/>
              <w:left w:val="single" w:sz="4" w:color="BFBFBF"/>
              <w:bottom w:val="single" w:sz="4" w:color="BFBFBF"/>
              <w:right w:val="single" w:sz="4" w:color="BFBFBF"/>
            </w:tcBorders>
            <w:vAlign w:val="center"/>
          </w:tcPr>
          <w:p>
            <w:r>
              <w:rPr>
                <w:rFonts w:ascii="Calibri" w:hAnsi="Calibri"/>
                <w:sz w:val="20"/>
              </w:rPr>
              <w:t>Annuel</w:t>
            </w:r>
          </w:p>
        </w:tc>
        <w:tc>
          <w:tcPr>
            <w:tcW w:type="dxa" w:w="2551"/>
            <w:shd w:val="clear" w:color="auto" w:fill="F2F2F2"/>
            <w:tcBorders>
              <w:top w:val="single" w:sz="4" w:color="BFBFBF"/>
              <w:left w:val="single" w:sz="4" w:color="BFBFBF"/>
              <w:bottom w:val="single" w:sz="4" w:color="BFBFBF"/>
              <w:right w:val="single" w:sz="4" w:color="BFBFBF"/>
            </w:tcBorders>
            <w:vAlign w:val="center"/>
          </w:tcPr>
          <w:p>
            <w:r>
              <w:rPr>
                <w:rFonts w:ascii="Calibri" w:hAnsi="Calibri"/>
                <w:sz w:val="20"/>
              </w:rPr>
              <w:t>SYSCOHADA + IFRS</w:t>
            </w:r>
          </w:p>
        </w:tc>
        <w:tc>
          <w:tcPr>
            <w:tcW w:type="dxa" w:w="2268"/>
            <w:shd w:val="clear" w:color="auto" w:fill="F2F2F2"/>
            <w:tcBorders>
              <w:top w:val="single" w:sz="4" w:color="BFBFBF"/>
              <w:left w:val="single" w:sz="4" w:color="BFBFBF"/>
              <w:bottom w:val="single" w:sz="4" w:color="BFBFBF"/>
              <w:right w:val="single" w:sz="4" w:color="BFBFBF"/>
            </w:tcBorders>
            <w:vAlign w:val="center"/>
          </w:tcPr>
          <w:p>
            <w:r>
              <w:rPr>
                <w:rFonts w:ascii="Calibri" w:hAnsi="Calibri"/>
                <w:sz w:val="20"/>
              </w:rPr>
              <w:t>5 ans</w:t>
            </w:r>
          </w:p>
        </w:tc>
      </w:tr>
      <w:tr>
        <w:tc>
          <w:tcPr>
            <w:tcW w:type="dxa" w:w="2835"/>
            <w:tcBorders>
              <w:top w:val="single" w:sz="4" w:color="BFBFBF"/>
              <w:left w:val="single" w:sz="4" w:color="BFBFBF"/>
              <w:bottom w:val="single" w:sz="4" w:color="BFBFBF"/>
              <w:right w:val="single" w:sz="4" w:color="BFBFBF"/>
            </w:tcBorders>
            <w:vAlign w:val="center"/>
          </w:tcPr>
          <w:p>
            <w:r>
              <w:rPr>
                <w:rFonts w:ascii="Calibri" w:hAnsi="Calibri"/>
                <w:sz w:val="20"/>
              </w:rPr>
              <w:t>Tableau de flux de trésorerie</w:t>
            </w:r>
          </w:p>
        </w:tc>
        <w:tc>
          <w:tcPr>
            <w:tcW w:type="dxa" w:w="1984"/>
            <w:tcBorders>
              <w:top w:val="single" w:sz="4" w:color="BFBFBF"/>
              <w:left w:val="single" w:sz="4" w:color="BFBFBF"/>
              <w:bottom w:val="single" w:sz="4" w:color="BFBFBF"/>
              <w:right w:val="single" w:sz="4" w:color="BFBFBF"/>
            </w:tcBorders>
            <w:vAlign w:val="center"/>
          </w:tcPr>
          <w:p>
            <w:r>
              <w:rPr>
                <w:rFonts w:ascii="Calibri" w:hAnsi="Calibri"/>
                <w:sz w:val="20"/>
              </w:rPr>
              <w:t>Annuel + mensuel Y1</w:t>
            </w:r>
          </w:p>
        </w:tc>
        <w:tc>
          <w:tcPr>
            <w:tcW w:type="dxa" w:w="2551"/>
            <w:tcBorders>
              <w:top w:val="single" w:sz="4" w:color="BFBFBF"/>
              <w:left w:val="single" w:sz="4" w:color="BFBFBF"/>
              <w:bottom w:val="single" w:sz="4" w:color="BFBFBF"/>
              <w:right w:val="single" w:sz="4" w:color="BFBFBF"/>
            </w:tcBorders>
            <w:vAlign w:val="center"/>
          </w:tcPr>
          <w:p>
            <w:r>
              <w:rPr>
                <w:rFonts w:ascii="Calibri" w:hAnsi="Calibri"/>
                <w:sz w:val="20"/>
              </w:rPr>
              <w:t>Méthode indirecte</w:t>
            </w:r>
          </w:p>
        </w:tc>
        <w:tc>
          <w:tcPr>
            <w:tcW w:type="dxa" w:w="2268"/>
            <w:tcBorders>
              <w:top w:val="single" w:sz="4" w:color="BFBFBF"/>
              <w:left w:val="single" w:sz="4" w:color="BFBFBF"/>
              <w:bottom w:val="single" w:sz="4" w:color="BFBFBF"/>
              <w:right w:val="single" w:sz="4" w:color="BFBFBF"/>
            </w:tcBorders>
            <w:vAlign w:val="center"/>
          </w:tcPr>
          <w:p>
            <w:r>
              <w:rPr>
                <w:rFonts w:ascii="Calibri" w:hAnsi="Calibri"/>
                <w:sz w:val="20"/>
              </w:rPr>
              <w:t>5 ans</w:t>
            </w:r>
          </w:p>
        </w:tc>
      </w:tr>
      <w:tr>
        <w:tc>
          <w:tcPr>
            <w:tcW w:type="dxa" w:w="2835"/>
            <w:shd w:val="clear" w:color="auto" w:fill="F2F2F2"/>
            <w:tcBorders>
              <w:top w:val="single" w:sz="4" w:color="BFBFBF"/>
              <w:left w:val="single" w:sz="4" w:color="BFBFBF"/>
              <w:bottom w:val="single" w:sz="4" w:color="BFBFBF"/>
              <w:right w:val="single" w:sz="4" w:color="BFBFBF"/>
            </w:tcBorders>
            <w:vAlign w:val="center"/>
          </w:tcPr>
          <w:p>
            <w:r>
              <w:rPr>
                <w:rFonts w:ascii="Calibri" w:hAnsi="Calibri"/>
                <w:sz w:val="20"/>
              </w:rPr>
              <w:t>Variation des capitaux propres</w:t>
            </w:r>
          </w:p>
        </w:tc>
        <w:tc>
          <w:tcPr>
            <w:tcW w:type="dxa" w:w="1984"/>
            <w:shd w:val="clear" w:color="auto" w:fill="F2F2F2"/>
            <w:tcBorders>
              <w:top w:val="single" w:sz="4" w:color="BFBFBF"/>
              <w:left w:val="single" w:sz="4" w:color="BFBFBF"/>
              <w:bottom w:val="single" w:sz="4" w:color="BFBFBF"/>
              <w:right w:val="single" w:sz="4" w:color="BFBFBF"/>
            </w:tcBorders>
            <w:vAlign w:val="center"/>
          </w:tcPr>
          <w:p>
            <w:r>
              <w:rPr>
                <w:rFonts w:ascii="Calibri" w:hAnsi="Calibri"/>
                <w:sz w:val="20"/>
              </w:rPr>
              <w:t>Annuel</w:t>
            </w:r>
          </w:p>
        </w:tc>
        <w:tc>
          <w:tcPr>
            <w:tcW w:type="dxa" w:w="2551"/>
            <w:shd w:val="clear" w:color="auto" w:fill="F2F2F2"/>
            <w:tcBorders>
              <w:top w:val="single" w:sz="4" w:color="BFBFBF"/>
              <w:left w:val="single" w:sz="4" w:color="BFBFBF"/>
              <w:bottom w:val="single" w:sz="4" w:color="BFBFBF"/>
              <w:right w:val="single" w:sz="4" w:color="BFBFBF"/>
            </w:tcBorders>
            <w:vAlign w:val="center"/>
          </w:tcPr>
          <w:p>
            <w:r>
              <w:rPr>
                <w:rFonts w:ascii="Calibri" w:hAnsi="Calibri"/>
                <w:sz w:val="20"/>
              </w:rPr>
              <w:t>SYSCOHADA + IFRS</w:t>
            </w:r>
          </w:p>
        </w:tc>
        <w:tc>
          <w:tcPr>
            <w:tcW w:type="dxa" w:w="2268"/>
            <w:shd w:val="clear" w:color="auto" w:fill="F2F2F2"/>
            <w:tcBorders>
              <w:top w:val="single" w:sz="4" w:color="BFBFBF"/>
              <w:left w:val="single" w:sz="4" w:color="BFBFBF"/>
              <w:bottom w:val="single" w:sz="4" w:color="BFBFBF"/>
              <w:right w:val="single" w:sz="4" w:color="BFBFBF"/>
            </w:tcBorders>
            <w:vAlign w:val="center"/>
          </w:tcPr>
          <w:p>
            <w:r>
              <w:rPr>
                <w:rFonts w:ascii="Calibri" w:hAnsi="Calibri"/>
                <w:sz w:val="20"/>
              </w:rPr>
              <w:t>5 ans</w:t>
            </w:r>
          </w:p>
        </w:tc>
      </w:tr>
      <w:tr>
        <w:tc>
          <w:tcPr>
            <w:tcW w:type="dxa" w:w="2835"/>
            <w:tcBorders>
              <w:top w:val="single" w:sz="4" w:color="BFBFBF"/>
              <w:left w:val="single" w:sz="4" w:color="BFBFBF"/>
              <w:bottom w:val="single" w:sz="4" w:color="BFBFBF"/>
              <w:right w:val="single" w:sz="4" w:color="BFBFBF"/>
            </w:tcBorders>
            <w:vAlign w:val="center"/>
          </w:tcPr>
          <w:p>
            <w:r>
              <w:rPr>
                <w:rFonts w:ascii="Calibri" w:hAnsi="Calibri"/>
                <w:sz w:val="20"/>
              </w:rPr>
              <w:t>KPIs sectoriels</w:t>
            </w:r>
          </w:p>
        </w:tc>
        <w:tc>
          <w:tcPr>
            <w:tcW w:type="dxa" w:w="1984"/>
            <w:tcBorders>
              <w:top w:val="single" w:sz="4" w:color="BFBFBF"/>
              <w:left w:val="single" w:sz="4" w:color="BFBFBF"/>
              <w:bottom w:val="single" w:sz="4" w:color="BFBFBF"/>
              <w:right w:val="single" w:sz="4" w:color="BFBFBF"/>
            </w:tcBorders>
            <w:vAlign w:val="center"/>
          </w:tcPr>
          <w:p>
            <w:r>
              <w:rPr>
                <w:rFonts w:ascii="Calibri" w:hAnsi="Calibri"/>
                <w:sz w:val="20"/>
              </w:rPr>
              <w:t>Selon KPI</w:t>
            </w:r>
          </w:p>
        </w:tc>
        <w:tc>
          <w:tcPr>
            <w:tcW w:type="dxa" w:w="2551"/>
            <w:tcBorders>
              <w:top w:val="single" w:sz="4" w:color="BFBFBF"/>
              <w:left w:val="single" w:sz="4" w:color="BFBFBF"/>
              <w:bottom w:val="single" w:sz="4" w:color="BFBFBF"/>
              <w:right w:val="single" w:sz="4" w:color="BFBFBF"/>
            </w:tcBorders>
            <w:vAlign w:val="center"/>
          </w:tcPr>
          <w:p>
            <w:r>
              <w:rPr>
                <w:rFonts w:ascii="Calibri" w:hAnsi="Calibri"/>
                <w:sz w:val="20"/>
              </w:rPr>
              <w:t>—</w:t>
            </w:r>
          </w:p>
        </w:tc>
        <w:tc>
          <w:tcPr>
            <w:tcW w:type="dxa" w:w="2268"/>
            <w:tcBorders>
              <w:top w:val="single" w:sz="4" w:color="BFBFBF"/>
              <w:left w:val="single" w:sz="4" w:color="BFBFBF"/>
              <w:bottom w:val="single" w:sz="4" w:color="BFBFBF"/>
              <w:right w:val="single" w:sz="4" w:color="BFBFBF"/>
            </w:tcBorders>
            <w:vAlign w:val="center"/>
          </w:tcPr>
          <w:p>
            <w:r>
              <w:rPr>
                <w:rFonts w:ascii="Calibri" w:hAnsi="Calibri"/>
                <w:sz w:val="20"/>
              </w:rPr>
              <w:t>5 ans</w:t>
            </w:r>
          </w:p>
        </w:tc>
      </w:tr>
      <w:tr>
        <w:tc>
          <w:tcPr>
            <w:tcW w:type="dxa" w:w="2835"/>
            <w:shd w:val="clear" w:color="auto" w:fill="F2F2F2"/>
            <w:tcBorders>
              <w:top w:val="single" w:sz="4" w:color="BFBFBF"/>
              <w:left w:val="single" w:sz="4" w:color="BFBFBF"/>
              <w:bottom w:val="single" w:sz="4" w:color="BFBFBF"/>
              <w:right w:val="single" w:sz="4" w:color="BFBFBF"/>
            </w:tcBorders>
            <w:vAlign w:val="center"/>
          </w:tcPr>
          <w:p>
            <w:r>
              <w:rPr>
                <w:rFonts w:ascii="Calibri" w:hAnsi="Calibri"/>
                <w:sz w:val="20"/>
              </w:rPr>
              <w:t>Ratios prudentiels</w:t>
            </w:r>
          </w:p>
        </w:tc>
        <w:tc>
          <w:tcPr>
            <w:tcW w:type="dxa" w:w="1984"/>
            <w:shd w:val="clear" w:color="auto" w:fill="F2F2F2"/>
            <w:tcBorders>
              <w:top w:val="single" w:sz="4" w:color="BFBFBF"/>
              <w:left w:val="single" w:sz="4" w:color="BFBFBF"/>
              <w:bottom w:val="single" w:sz="4" w:color="BFBFBF"/>
              <w:right w:val="single" w:sz="4" w:color="BFBFBF"/>
            </w:tcBorders>
            <w:vAlign w:val="center"/>
          </w:tcPr>
          <w:p>
            <w:r>
              <w:rPr>
                <w:rFonts w:ascii="Calibri" w:hAnsi="Calibri"/>
                <w:sz w:val="20"/>
              </w:rPr>
              <w:t>Trimestriel / annuel</w:t>
            </w:r>
          </w:p>
        </w:tc>
        <w:tc>
          <w:tcPr>
            <w:tcW w:type="dxa" w:w="2551"/>
            <w:shd w:val="clear" w:color="auto" w:fill="F2F2F2"/>
            <w:tcBorders>
              <w:top w:val="single" w:sz="4" w:color="BFBFBF"/>
              <w:left w:val="single" w:sz="4" w:color="BFBFBF"/>
              <w:bottom w:val="single" w:sz="4" w:color="BFBFBF"/>
              <w:right w:val="single" w:sz="4" w:color="BFBFBF"/>
            </w:tcBorders>
            <w:vAlign w:val="center"/>
          </w:tcPr>
          <w:p>
            <w:r>
              <w:rPr>
                <w:rFonts w:ascii="Calibri" w:hAnsi="Calibri"/>
                <w:sz w:val="20"/>
              </w:rPr>
              <w:t>CIMA, Bâle III, etc.</w:t>
            </w:r>
          </w:p>
        </w:tc>
        <w:tc>
          <w:tcPr>
            <w:tcW w:type="dxa" w:w="2268"/>
            <w:shd w:val="clear" w:color="auto" w:fill="F2F2F2"/>
            <w:tcBorders>
              <w:top w:val="single" w:sz="4" w:color="BFBFBF"/>
              <w:left w:val="single" w:sz="4" w:color="BFBFBF"/>
              <w:bottom w:val="single" w:sz="4" w:color="BFBFBF"/>
              <w:right w:val="single" w:sz="4" w:color="BFBFBF"/>
            </w:tcBorders>
            <w:vAlign w:val="center"/>
          </w:tcPr>
          <w:p>
            <w:r>
              <w:rPr>
                <w:rFonts w:ascii="Calibri" w:hAnsi="Calibri"/>
                <w:sz w:val="20"/>
              </w:rPr>
              <w:t>5 ans</w:t>
            </w:r>
          </w:p>
        </w:tc>
      </w:tr>
      <w:tr>
        <w:tc>
          <w:tcPr>
            <w:tcW w:type="dxa" w:w="2835"/>
            <w:tcBorders>
              <w:top w:val="single" w:sz="4" w:color="BFBFBF"/>
              <w:left w:val="single" w:sz="4" w:color="BFBFBF"/>
              <w:bottom w:val="single" w:sz="4" w:color="BFBFBF"/>
              <w:right w:val="single" w:sz="4" w:color="BFBFBF"/>
            </w:tcBorders>
            <w:vAlign w:val="center"/>
          </w:tcPr>
          <w:p>
            <w:r>
              <w:rPr>
                <w:rFonts w:ascii="Calibri" w:hAnsi="Calibri"/>
                <w:sz w:val="20"/>
              </w:rPr>
              <w:t>Scénarios comparés</w:t>
            </w:r>
          </w:p>
        </w:tc>
        <w:tc>
          <w:tcPr>
            <w:tcW w:type="dxa" w:w="1984"/>
            <w:tcBorders>
              <w:top w:val="single" w:sz="4" w:color="BFBFBF"/>
              <w:left w:val="single" w:sz="4" w:color="BFBFBF"/>
              <w:bottom w:val="single" w:sz="4" w:color="BFBFBF"/>
              <w:right w:val="single" w:sz="4" w:color="BFBFBF"/>
            </w:tcBorders>
            <w:vAlign w:val="center"/>
          </w:tcPr>
          <w:p>
            <w:r>
              <w:rPr>
                <w:rFonts w:ascii="Calibri" w:hAnsi="Calibri"/>
                <w:sz w:val="20"/>
              </w:rPr>
              <w:t>Annuel</w:t>
            </w:r>
          </w:p>
        </w:tc>
        <w:tc>
          <w:tcPr>
            <w:tcW w:type="dxa" w:w="2551"/>
            <w:tcBorders>
              <w:top w:val="single" w:sz="4" w:color="BFBFBF"/>
              <w:left w:val="single" w:sz="4" w:color="BFBFBF"/>
              <w:bottom w:val="single" w:sz="4" w:color="BFBFBF"/>
              <w:right w:val="single" w:sz="4" w:color="BFBFBF"/>
            </w:tcBorders>
            <w:vAlign w:val="center"/>
          </w:tcPr>
          <w:p>
            <w:r>
              <w:rPr>
                <w:rFonts w:ascii="Calibri" w:hAnsi="Calibri"/>
                <w:sz w:val="20"/>
              </w:rPr>
              <w:t>Multi-scénarios</w:t>
            </w:r>
          </w:p>
        </w:tc>
        <w:tc>
          <w:tcPr>
            <w:tcW w:type="dxa" w:w="2268"/>
            <w:tcBorders>
              <w:top w:val="single" w:sz="4" w:color="BFBFBF"/>
              <w:left w:val="single" w:sz="4" w:color="BFBFBF"/>
              <w:bottom w:val="single" w:sz="4" w:color="BFBFBF"/>
              <w:right w:val="single" w:sz="4" w:color="BFBFBF"/>
            </w:tcBorders>
            <w:vAlign w:val="center"/>
          </w:tcPr>
          <w:p>
            <w:r>
              <w:rPr>
                <w:rFonts w:ascii="Calibri" w:hAnsi="Calibri"/>
                <w:sz w:val="20"/>
              </w:rPr>
              <w:t>Pess / Base / Opt</w:t>
            </w:r>
          </w:p>
        </w:tc>
      </w:tr>
      <w:tr>
        <w:tc>
          <w:tcPr>
            <w:tcW w:type="dxa" w:w="2835"/>
            <w:shd w:val="clear" w:color="auto" w:fill="F2F2F2"/>
            <w:tcBorders>
              <w:top w:val="single" w:sz="4" w:color="BFBFBF"/>
              <w:left w:val="single" w:sz="4" w:color="BFBFBF"/>
              <w:bottom w:val="single" w:sz="4" w:color="BFBFBF"/>
              <w:right w:val="single" w:sz="4" w:color="BFBFBF"/>
            </w:tcBorders>
            <w:vAlign w:val="center"/>
          </w:tcPr>
          <w:p>
            <w:r>
              <w:rPr>
                <w:rFonts w:ascii="Calibri" w:hAnsi="Calibri"/>
                <w:sz w:val="20"/>
              </w:rPr>
              <w:t>Stress tests</w:t>
            </w:r>
          </w:p>
        </w:tc>
        <w:tc>
          <w:tcPr>
            <w:tcW w:type="dxa" w:w="1984"/>
            <w:shd w:val="clear" w:color="auto" w:fill="F2F2F2"/>
            <w:tcBorders>
              <w:top w:val="single" w:sz="4" w:color="BFBFBF"/>
              <w:left w:val="single" w:sz="4" w:color="BFBFBF"/>
              <w:bottom w:val="single" w:sz="4" w:color="BFBFBF"/>
              <w:right w:val="single" w:sz="4" w:color="BFBFBF"/>
            </w:tcBorders>
            <w:vAlign w:val="center"/>
          </w:tcPr>
          <w:p>
            <w:r>
              <w:rPr>
                <w:rFonts w:ascii="Calibri" w:hAnsi="Calibri"/>
                <w:sz w:val="20"/>
              </w:rPr>
              <w:t>Annuel</w:t>
            </w:r>
          </w:p>
        </w:tc>
        <w:tc>
          <w:tcPr>
            <w:tcW w:type="dxa" w:w="2551"/>
            <w:shd w:val="clear" w:color="auto" w:fill="F2F2F2"/>
            <w:tcBorders>
              <w:top w:val="single" w:sz="4" w:color="BFBFBF"/>
              <w:left w:val="single" w:sz="4" w:color="BFBFBF"/>
              <w:bottom w:val="single" w:sz="4" w:color="BFBFBF"/>
              <w:right w:val="single" w:sz="4" w:color="BFBFBF"/>
            </w:tcBorders>
            <w:vAlign w:val="center"/>
          </w:tcPr>
          <w:p>
            <w:r>
              <w:rPr>
                <w:rFonts w:ascii="Calibri" w:hAnsi="Calibri"/>
                <w:sz w:val="20"/>
              </w:rPr>
              <w:t>Scénarios stressés</w:t>
            </w:r>
          </w:p>
        </w:tc>
        <w:tc>
          <w:tcPr>
            <w:tcW w:type="dxa" w:w="2268"/>
            <w:shd w:val="clear" w:color="auto" w:fill="F2F2F2"/>
            <w:tcBorders>
              <w:top w:val="single" w:sz="4" w:color="BFBFBF"/>
              <w:left w:val="single" w:sz="4" w:color="BFBFBF"/>
              <w:bottom w:val="single" w:sz="4" w:color="BFBFBF"/>
              <w:right w:val="single" w:sz="4" w:color="BFBFBF"/>
            </w:tcBorders>
            <w:vAlign w:val="center"/>
          </w:tcPr>
          <w:p>
            <w:r>
              <w:rPr>
                <w:rFonts w:ascii="Calibri" w:hAnsi="Calibri"/>
                <w:sz w:val="20"/>
              </w:rPr>
              <w:t>Sensibilités</w:t>
            </w:r>
          </w:p>
        </w:tc>
      </w:tr>
      <w:tr>
        <w:tc>
          <w:tcPr>
            <w:tcW w:type="dxa" w:w="2835"/>
            <w:tcBorders>
              <w:top w:val="single" w:sz="4" w:color="BFBFBF"/>
              <w:left w:val="single" w:sz="4" w:color="BFBFBF"/>
              <w:bottom w:val="single" w:sz="4" w:color="BFBFBF"/>
              <w:right w:val="single" w:sz="4" w:color="BFBFBF"/>
            </w:tcBorders>
            <w:vAlign w:val="center"/>
          </w:tcPr>
          <w:p>
            <w:r>
              <w:rPr>
                <w:rFonts w:ascii="Calibri" w:hAnsi="Calibri"/>
                <w:sz w:val="20"/>
              </w:rPr>
              <w:t>Notes méthodologiques</w:t>
            </w:r>
          </w:p>
        </w:tc>
        <w:tc>
          <w:tcPr>
            <w:tcW w:type="dxa" w:w="1984"/>
            <w:tcBorders>
              <w:top w:val="single" w:sz="4" w:color="BFBFBF"/>
              <w:left w:val="single" w:sz="4" w:color="BFBFBF"/>
              <w:bottom w:val="single" w:sz="4" w:color="BFBFBF"/>
              <w:right w:val="single" w:sz="4" w:color="BFBFBF"/>
            </w:tcBorders>
            <w:vAlign w:val="center"/>
          </w:tcPr>
          <w:p>
            <w:r>
              <w:rPr>
                <w:rFonts w:ascii="Calibri" w:hAnsi="Calibri"/>
                <w:sz w:val="20"/>
              </w:rPr>
              <w:t>—</w:t>
            </w:r>
          </w:p>
        </w:tc>
        <w:tc>
          <w:tcPr>
            <w:tcW w:type="dxa" w:w="2551"/>
            <w:tcBorders>
              <w:top w:val="single" w:sz="4" w:color="BFBFBF"/>
              <w:left w:val="single" w:sz="4" w:color="BFBFBF"/>
              <w:bottom w:val="single" w:sz="4" w:color="BFBFBF"/>
              <w:right w:val="single" w:sz="4" w:color="BFBFBF"/>
            </w:tcBorders>
            <w:vAlign w:val="center"/>
          </w:tcPr>
          <w:p>
            <w:r>
              <w:rPr>
                <w:rFonts w:ascii="Calibri" w:hAnsi="Calibri"/>
                <w:sz w:val="20"/>
              </w:rPr>
              <w:t>Toutes hypothèses</w:t>
            </w:r>
          </w:p>
        </w:tc>
        <w:tc>
          <w:tcPr>
            <w:tcW w:type="dxa" w:w="2268"/>
            <w:tcBorders>
              <w:top w:val="single" w:sz="4" w:color="BFBFBF"/>
              <w:left w:val="single" w:sz="4" w:color="BFBFBF"/>
              <w:bottom w:val="single" w:sz="4" w:color="BFBFBF"/>
              <w:right w:val="single" w:sz="4" w:color="BFBFBF"/>
            </w:tcBorders>
            <w:vAlign w:val="center"/>
          </w:tcPr>
          <w:p>
            <w:r>
              <w:rPr>
                <w:rFonts w:ascii="Calibri" w:hAnsi="Calibri"/>
                <w:sz w:val="20"/>
              </w:rPr>
              <w:t>Annexe</w:t>
            </w:r>
          </w:p>
        </w:tc>
      </w:tr>
    </w:tbl>
    <w:p>
      <w:pPr>
        <w:spacing w:after="120"/>
      </w:pPr>
    </w:p>
    <w:p>
      <w:pPr>
        <w:pStyle w:val="Heading2"/>
        <w:spacing w:before="240" w:after="120"/>
      </w:pPr>
      <w:r>
        <w:rPr>
          <w:rFonts w:ascii="Calibri" w:hAnsi="Calibri"/>
          <w:b/>
          <w:color w:val="0A2540"/>
          <w:sz w:val="30"/>
        </w:rPr>
        <w:t>2.6 Cycle de vie d'un modèle</w:t>
      </w:r>
    </w:p>
    <w:p>
      <w:pPr>
        <w:spacing w:before="0" w:after="120"/>
        <w:jc w:val="both"/>
      </w:pPr>
      <w:r>
        <w:rPr>
          <w:rFonts w:ascii="Calibri" w:hAnsi="Calibri"/>
          <w:b w:val="0"/>
          <w:i w:val="0"/>
          <w:color w:val="000000"/>
          <w:sz w:val="22"/>
        </w:rPr>
        <w:t>Un modèle suit un cycle de vie en six phases. L'outil accompagne et trace chaque phase :</w:t>
      </w:r>
    </w:p>
    <w:p>
      <w:pPr>
        <w:pStyle w:val="ListNumber"/>
        <w:spacing w:after="60"/>
        <w:ind w:left="340"/>
      </w:pPr>
      <w:r>
        <w:rPr>
          <w:rFonts w:ascii="Calibri" w:hAnsi="Calibri"/>
          <w:sz w:val="22"/>
        </w:rPr>
        <w:t>Initialisation : sélection du template sectoriel, paramétrage initial des hypothèses, validation de cohérence.</w:t>
      </w:r>
    </w:p>
    <w:p>
      <w:pPr>
        <w:pStyle w:val="ListNumber"/>
        <w:spacing w:after="60"/>
        <w:ind w:left="340"/>
      </w:pPr>
      <w:r>
        <w:rPr>
          <w:rFonts w:ascii="Calibri" w:hAnsi="Calibri"/>
          <w:sz w:val="22"/>
        </w:rPr>
        <w:t>Construction : saisie ou import des hypothèses détaillées, ajustement des règles de calcul si nécessaire.</w:t>
      </w:r>
    </w:p>
    <w:p>
      <w:pPr>
        <w:pStyle w:val="ListNumber"/>
        <w:spacing w:after="60"/>
        <w:ind w:left="340"/>
      </w:pPr>
      <w:r>
        <w:rPr>
          <w:rFonts w:ascii="Calibri" w:hAnsi="Calibri"/>
          <w:sz w:val="22"/>
        </w:rPr>
        <w:t>Validation : contrôle des cohérences (équilibres comptables, ratios prudentiels, bornes économiques).</w:t>
      </w:r>
    </w:p>
    <w:p>
      <w:pPr>
        <w:pStyle w:val="ListNumber"/>
        <w:spacing w:after="60"/>
        <w:ind w:left="340"/>
      </w:pPr>
      <w:r>
        <w:rPr>
          <w:rFonts w:ascii="Calibri" w:hAnsi="Calibri"/>
          <w:sz w:val="22"/>
        </w:rPr>
        <w:t>Scénarisation : déclinaison des scénarios pessimiste, base, optimiste ; stress tests réglementaires.</w:t>
      </w:r>
    </w:p>
    <w:p>
      <w:pPr>
        <w:pStyle w:val="ListNumber"/>
        <w:spacing w:after="60"/>
        <w:ind w:left="340"/>
      </w:pPr>
      <w:r>
        <w:rPr>
          <w:rFonts w:ascii="Calibri" w:hAnsi="Calibri"/>
          <w:sz w:val="22"/>
        </w:rPr>
        <w:t>Publication : génération des livrables (PDF, Excel, présentations), signature numérique, partage.</w:t>
      </w:r>
    </w:p>
    <w:p>
      <w:pPr>
        <w:pStyle w:val="ListNumber"/>
        <w:spacing w:after="60"/>
        <w:ind w:left="340"/>
      </w:pPr>
      <w:r>
        <w:rPr>
          <w:rFonts w:ascii="Calibri" w:hAnsi="Calibri"/>
          <w:sz w:val="22"/>
        </w:rPr>
        <w:t>Suivi &amp; reforecast : comparaison réel vs budget, mises à jour périodiques, versioning automatique.</w:t>
      </w:r>
    </w:p>
    <w:p>
      <w:r>
        <w:br w:type="page"/>
      </w:r>
    </w:p>
    <w:p>
      <w:pPr>
        <w:pStyle w:val="Heading1"/>
        <w:spacing w:before="240" w:after="120"/>
      </w:pPr>
      <w:r>
        <w:rPr>
          <w:rFonts w:ascii="Calibri" w:hAnsi="Calibri"/>
          <w:b/>
          <w:color w:val="0A2540"/>
          <w:sz w:val="36"/>
        </w:rPr>
        <w:t>3. Référentiel des critères de modélisation universels</w:t>
      </w:r>
    </w:p>
    <w:p>
      <w:pPr>
        <w:spacing w:before="0" w:after="120"/>
        <w:jc w:val="both"/>
      </w:pPr>
      <w:r>
        <w:rPr>
          <w:rFonts w:ascii="Calibri" w:hAnsi="Calibri"/>
          <w:b w:val="0"/>
          <w:i w:val="0"/>
          <w:color w:val="000000"/>
          <w:sz w:val="22"/>
        </w:rPr>
        <w:t>Ce chapitre définit la grille de critères qui permet à l'outil de positionner correctement un modèle dans son contexte sectoriel, géographique et réglementaire. Ces critères sont saisis à l'initialisation d'un projet et déterminent la suite des règles applicables.</w:t>
      </w:r>
    </w:p>
    <w:p>
      <w:pPr>
        <w:pStyle w:val="Heading2"/>
        <w:spacing w:before="240" w:after="120"/>
      </w:pPr>
      <w:r>
        <w:rPr>
          <w:rFonts w:ascii="Calibri" w:hAnsi="Calibri"/>
          <w:b/>
          <w:color w:val="0A2540"/>
          <w:sz w:val="30"/>
        </w:rPr>
        <w:t>3.1 Le secteur d'activité</w:t>
      </w:r>
    </w:p>
    <w:p>
      <w:pPr>
        <w:spacing w:before="0" w:after="120"/>
        <w:jc w:val="both"/>
      </w:pPr>
      <w:r>
        <w:rPr>
          <w:rFonts w:ascii="Calibri" w:hAnsi="Calibri"/>
          <w:b w:val="0"/>
          <w:i w:val="0"/>
          <w:color w:val="000000"/>
          <w:sz w:val="22"/>
        </w:rPr>
        <w:t>Le secteur est le premier critère structurant. L'outil propose une taxonomie à deux niveaux (secteur principal, sous-secteur) compatible avec la nomenclature NAICS et l'ISIC, complétée par des libellés métier locaux.</w:t>
      </w:r>
    </w:p>
    <w:tbl>
      <w:tblPr>
        <w:tblW w:type="auto" w:w="0"/>
        <w:jc w:val="center"/>
        <w:tblLayout w:type="fixed"/>
        <w:tblLook w:firstColumn="1" w:firstRow="1" w:lastColumn="0" w:lastRow="0" w:noHBand="0" w:noVBand="1" w:val="04A0"/>
      </w:tblPr>
      <w:tblGrid>
        <w:gridCol w:w="3135"/>
        <w:gridCol w:w="3135"/>
        <w:gridCol w:w="3135"/>
      </w:tblGrid>
      <w:tr>
        <w:tc>
          <w:tcPr>
            <w:tcW w:type="dxa" w:w="1984"/>
            <w:shd w:val="clear" w:color="auto" w:fill="0A2540"/>
            <w:tcBorders>
              <w:top w:val="single" w:sz="4" w:color="BFBFBF"/>
              <w:left w:val="single" w:sz="4" w:color="BFBFBF"/>
              <w:bottom w:val="single" w:sz="4" w:color="BFBFBF"/>
              <w:right w:val="single" w:sz="4" w:color="BFBFBF"/>
            </w:tcBorders>
            <w:vAlign w:val="center"/>
          </w:tcPr>
          <w:p>
            <w:pPr>
              <w:jc w:val="center"/>
            </w:pPr>
            <w:r>
              <w:rPr>
                <w:rFonts w:ascii="Calibri" w:hAnsi="Calibri"/>
                <w:b/>
                <w:color w:val="FFFFFF"/>
                <w:sz w:val="20"/>
              </w:rPr>
              <w:t>Secteur principal</w:t>
            </w:r>
          </w:p>
        </w:tc>
        <w:tc>
          <w:tcPr>
            <w:tcW w:type="dxa" w:w="4252"/>
            <w:shd w:val="clear" w:color="auto" w:fill="0A2540"/>
            <w:tcBorders>
              <w:top w:val="single" w:sz="4" w:color="BFBFBF"/>
              <w:left w:val="single" w:sz="4" w:color="BFBFBF"/>
              <w:bottom w:val="single" w:sz="4" w:color="BFBFBF"/>
              <w:right w:val="single" w:sz="4" w:color="BFBFBF"/>
            </w:tcBorders>
            <w:vAlign w:val="center"/>
          </w:tcPr>
          <w:p>
            <w:pPr>
              <w:jc w:val="center"/>
            </w:pPr>
            <w:r>
              <w:rPr>
                <w:rFonts w:ascii="Calibri" w:hAnsi="Calibri"/>
                <w:b/>
                <w:color w:val="FFFFFF"/>
                <w:sz w:val="20"/>
              </w:rPr>
              <w:t>Sous-secteurs</w:t>
            </w:r>
          </w:p>
        </w:tc>
        <w:tc>
          <w:tcPr>
            <w:tcW w:type="dxa" w:w="3402"/>
            <w:shd w:val="clear" w:color="auto" w:fill="0A2540"/>
            <w:tcBorders>
              <w:top w:val="single" w:sz="4" w:color="BFBFBF"/>
              <w:left w:val="single" w:sz="4" w:color="BFBFBF"/>
              <w:bottom w:val="single" w:sz="4" w:color="BFBFBF"/>
              <w:right w:val="single" w:sz="4" w:color="BFBFBF"/>
            </w:tcBorders>
            <w:vAlign w:val="center"/>
          </w:tcPr>
          <w:p>
            <w:pPr>
              <w:jc w:val="center"/>
            </w:pPr>
            <w:r>
              <w:rPr>
                <w:rFonts w:ascii="Calibri" w:hAnsi="Calibri"/>
                <w:b/>
                <w:color w:val="FFFFFF"/>
                <w:sz w:val="20"/>
              </w:rPr>
              <w:t>Norme comptable typique</w:t>
            </w:r>
          </w:p>
        </w:tc>
      </w:tr>
      <w:tr>
        <w:tc>
          <w:tcPr>
            <w:tcW w:type="dxa" w:w="1984"/>
            <w:tcBorders>
              <w:top w:val="single" w:sz="4" w:color="BFBFBF"/>
              <w:left w:val="single" w:sz="4" w:color="BFBFBF"/>
              <w:bottom w:val="single" w:sz="4" w:color="BFBFBF"/>
              <w:right w:val="single" w:sz="4" w:color="BFBFBF"/>
            </w:tcBorders>
            <w:vAlign w:val="center"/>
          </w:tcPr>
          <w:p>
            <w:r>
              <w:rPr>
                <w:rFonts w:ascii="Calibri" w:hAnsi="Calibri"/>
                <w:sz w:val="20"/>
              </w:rPr>
              <w:t>BTP</w:t>
            </w:r>
          </w:p>
        </w:tc>
        <w:tc>
          <w:tcPr>
            <w:tcW w:type="dxa" w:w="4252"/>
            <w:tcBorders>
              <w:top w:val="single" w:sz="4" w:color="BFBFBF"/>
              <w:left w:val="single" w:sz="4" w:color="BFBFBF"/>
              <w:bottom w:val="single" w:sz="4" w:color="BFBFBF"/>
              <w:right w:val="single" w:sz="4" w:color="BFBFBF"/>
            </w:tcBorders>
            <w:vAlign w:val="center"/>
          </w:tcPr>
          <w:p>
            <w:r>
              <w:rPr>
                <w:rFonts w:ascii="Calibri" w:hAnsi="Calibri"/>
                <w:sz w:val="20"/>
              </w:rPr>
              <w:t>Bâtiments, Routes &amp; infrastructures, Génie civil lourd</w:t>
            </w:r>
          </w:p>
        </w:tc>
        <w:tc>
          <w:tcPr>
            <w:tcW w:type="dxa" w:w="3402"/>
            <w:tcBorders>
              <w:top w:val="single" w:sz="4" w:color="BFBFBF"/>
              <w:left w:val="single" w:sz="4" w:color="BFBFBF"/>
              <w:bottom w:val="single" w:sz="4" w:color="BFBFBF"/>
              <w:right w:val="single" w:sz="4" w:color="BFBFBF"/>
            </w:tcBorders>
            <w:vAlign w:val="center"/>
          </w:tcPr>
          <w:p>
            <w:r>
              <w:rPr>
                <w:rFonts w:ascii="Calibri" w:hAnsi="Calibri"/>
                <w:sz w:val="20"/>
              </w:rPr>
              <w:t>SYSCOHADA + IAS 11/IFRS 15</w:t>
            </w:r>
          </w:p>
        </w:tc>
      </w:tr>
      <w:tr>
        <w:tc>
          <w:tcPr>
            <w:tcW w:type="dxa" w:w="1984"/>
            <w:shd w:val="clear" w:color="auto" w:fill="F2F2F2"/>
            <w:tcBorders>
              <w:top w:val="single" w:sz="4" w:color="BFBFBF"/>
              <w:left w:val="single" w:sz="4" w:color="BFBFBF"/>
              <w:bottom w:val="single" w:sz="4" w:color="BFBFBF"/>
              <w:right w:val="single" w:sz="4" w:color="BFBFBF"/>
            </w:tcBorders>
            <w:vAlign w:val="center"/>
          </w:tcPr>
          <w:p>
            <w:r>
              <w:rPr>
                <w:rFonts w:ascii="Calibri" w:hAnsi="Calibri"/>
                <w:sz w:val="20"/>
              </w:rPr>
              <w:t>Banque</w:t>
            </w:r>
          </w:p>
        </w:tc>
        <w:tc>
          <w:tcPr>
            <w:tcW w:type="dxa" w:w="4252"/>
            <w:shd w:val="clear" w:color="auto" w:fill="F2F2F2"/>
            <w:tcBorders>
              <w:top w:val="single" w:sz="4" w:color="BFBFBF"/>
              <w:left w:val="single" w:sz="4" w:color="BFBFBF"/>
              <w:bottom w:val="single" w:sz="4" w:color="BFBFBF"/>
              <w:right w:val="single" w:sz="4" w:color="BFBFBF"/>
            </w:tcBorders>
            <w:vAlign w:val="center"/>
          </w:tcPr>
          <w:p>
            <w:r>
              <w:rPr>
                <w:rFonts w:ascii="Calibri" w:hAnsi="Calibri"/>
                <w:sz w:val="20"/>
              </w:rPr>
              <w:t>Universelle, Détail, Investissement, Microfinance</w:t>
            </w:r>
          </w:p>
        </w:tc>
        <w:tc>
          <w:tcPr>
            <w:tcW w:type="dxa" w:w="3402"/>
            <w:shd w:val="clear" w:color="auto" w:fill="F2F2F2"/>
            <w:tcBorders>
              <w:top w:val="single" w:sz="4" w:color="BFBFBF"/>
              <w:left w:val="single" w:sz="4" w:color="BFBFBF"/>
              <w:bottom w:val="single" w:sz="4" w:color="BFBFBF"/>
              <w:right w:val="single" w:sz="4" w:color="BFBFBF"/>
            </w:tcBorders>
            <w:vAlign w:val="center"/>
          </w:tcPr>
          <w:p>
            <w:r>
              <w:rPr>
                <w:rFonts w:ascii="Calibri" w:hAnsi="Calibri"/>
                <w:sz w:val="20"/>
              </w:rPr>
              <w:t>BCEAO + IFRS 9/SYSCOHADA bancaire</w:t>
            </w:r>
          </w:p>
        </w:tc>
      </w:tr>
      <w:tr>
        <w:tc>
          <w:tcPr>
            <w:tcW w:type="dxa" w:w="1984"/>
            <w:tcBorders>
              <w:top w:val="single" w:sz="4" w:color="BFBFBF"/>
              <w:left w:val="single" w:sz="4" w:color="BFBFBF"/>
              <w:bottom w:val="single" w:sz="4" w:color="BFBFBF"/>
              <w:right w:val="single" w:sz="4" w:color="BFBFBF"/>
            </w:tcBorders>
            <w:vAlign w:val="center"/>
          </w:tcPr>
          <w:p>
            <w:r>
              <w:rPr>
                <w:rFonts w:ascii="Calibri" w:hAnsi="Calibri"/>
                <w:sz w:val="20"/>
              </w:rPr>
              <w:t>Assurance</w:t>
            </w:r>
          </w:p>
        </w:tc>
        <w:tc>
          <w:tcPr>
            <w:tcW w:type="dxa" w:w="4252"/>
            <w:tcBorders>
              <w:top w:val="single" w:sz="4" w:color="BFBFBF"/>
              <w:left w:val="single" w:sz="4" w:color="BFBFBF"/>
              <w:bottom w:val="single" w:sz="4" w:color="BFBFBF"/>
              <w:right w:val="single" w:sz="4" w:color="BFBFBF"/>
            </w:tcBorders>
            <w:vAlign w:val="center"/>
          </w:tcPr>
          <w:p>
            <w:r>
              <w:rPr>
                <w:rFonts w:ascii="Calibri" w:hAnsi="Calibri"/>
                <w:sz w:val="20"/>
              </w:rPr>
              <w:t>Vie, Non-Vie, Réassurance, Mixte</w:t>
            </w:r>
          </w:p>
        </w:tc>
        <w:tc>
          <w:tcPr>
            <w:tcW w:type="dxa" w:w="3402"/>
            <w:tcBorders>
              <w:top w:val="single" w:sz="4" w:color="BFBFBF"/>
              <w:left w:val="single" w:sz="4" w:color="BFBFBF"/>
              <w:bottom w:val="single" w:sz="4" w:color="BFBFBF"/>
              <w:right w:val="single" w:sz="4" w:color="BFBFBF"/>
            </w:tcBorders>
            <w:vAlign w:val="center"/>
          </w:tcPr>
          <w:p>
            <w:r>
              <w:rPr>
                <w:rFonts w:ascii="Calibri" w:hAnsi="Calibri"/>
                <w:sz w:val="20"/>
              </w:rPr>
              <w:t>CIMA + IFRS 17 (option)</w:t>
            </w:r>
          </w:p>
        </w:tc>
      </w:tr>
      <w:tr>
        <w:tc>
          <w:tcPr>
            <w:tcW w:type="dxa" w:w="1984"/>
            <w:shd w:val="clear" w:color="auto" w:fill="F2F2F2"/>
            <w:tcBorders>
              <w:top w:val="single" w:sz="4" w:color="BFBFBF"/>
              <w:left w:val="single" w:sz="4" w:color="BFBFBF"/>
              <w:bottom w:val="single" w:sz="4" w:color="BFBFBF"/>
              <w:right w:val="single" w:sz="4" w:color="BFBFBF"/>
            </w:tcBorders>
            <w:vAlign w:val="center"/>
          </w:tcPr>
          <w:p>
            <w:r>
              <w:rPr>
                <w:rFonts w:ascii="Calibri" w:hAnsi="Calibri"/>
                <w:sz w:val="20"/>
              </w:rPr>
              <w:t>Commerce</w:t>
            </w:r>
          </w:p>
        </w:tc>
        <w:tc>
          <w:tcPr>
            <w:tcW w:type="dxa" w:w="4252"/>
            <w:shd w:val="clear" w:color="auto" w:fill="F2F2F2"/>
            <w:tcBorders>
              <w:top w:val="single" w:sz="4" w:color="BFBFBF"/>
              <w:left w:val="single" w:sz="4" w:color="BFBFBF"/>
              <w:bottom w:val="single" w:sz="4" w:color="BFBFBF"/>
              <w:right w:val="single" w:sz="4" w:color="BFBFBF"/>
            </w:tcBorders>
            <w:vAlign w:val="center"/>
          </w:tcPr>
          <w:p>
            <w:r>
              <w:rPr>
                <w:rFonts w:ascii="Calibri" w:hAnsi="Calibri"/>
                <w:sz w:val="20"/>
              </w:rPr>
              <w:t>Grossiste, Détaillant, E-commerce, Distribution</w:t>
            </w:r>
          </w:p>
        </w:tc>
        <w:tc>
          <w:tcPr>
            <w:tcW w:type="dxa" w:w="3402"/>
            <w:shd w:val="clear" w:color="auto" w:fill="F2F2F2"/>
            <w:tcBorders>
              <w:top w:val="single" w:sz="4" w:color="BFBFBF"/>
              <w:left w:val="single" w:sz="4" w:color="BFBFBF"/>
              <w:bottom w:val="single" w:sz="4" w:color="BFBFBF"/>
              <w:right w:val="single" w:sz="4" w:color="BFBFBF"/>
            </w:tcBorders>
            <w:vAlign w:val="center"/>
          </w:tcPr>
          <w:p>
            <w:r>
              <w:rPr>
                <w:rFonts w:ascii="Calibri" w:hAnsi="Calibri"/>
                <w:sz w:val="20"/>
              </w:rPr>
              <w:t>SYSCOHADA</w:t>
            </w:r>
          </w:p>
        </w:tc>
      </w:tr>
      <w:tr>
        <w:tc>
          <w:tcPr>
            <w:tcW w:type="dxa" w:w="1984"/>
            <w:tcBorders>
              <w:top w:val="single" w:sz="4" w:color="BFBFBF"/>
              <w:left w:val="single" w:sz="4" w:color="BFBFBF"/>
              <w:bottom w:val="single" w:sz="4" w:color="BFBFBF"/>
              <w:right w:val="single" w:sz="4" w:color="BFBFBF"/>
            </w:tcBorders>
            <w:vAlign w:val="center"/>
          </w:tcPr>
          <w:p>
            <w:r>
              <w:rPr>
                <w:rFonts w:ascii="Calibri" w:hAnsi="Calibri"/>
                <w:sz w:val="20"/>
              </w:rPr>
              <w:t>Industrie</w:t>
            </w:r>
          </w:p>
        </w:tc>
        <w:tc>
          <w:tcPr>
            <w:tcW w:type="dxa" w:w="4252"/>
            <w:tcBorders>
              <w:top w:val="single" w:sz="4" w:color="BFBFBF"/>
              <w:left w:val="single" w:sz="4" w:color="BFBFBF"/>
              <w:bottom w:val="single" w:sz="4" w:color="BFBFBF"/>
              <w:right w:val="single" w:sz="4" w:color="BFBFBF"/>
            </w:tcBorders>
            <w:vAlign w:val="center"/>
          </w:tcPr>
          <w:p>
            <w:r>
              <w:rPr>
                <w:rFonts w:ascii="Calibri" w:hAnsi="Calibri"/>
                <w:sz w:val="20"/>
              </w:rPr>
              <w:t>Agro-alimentaire, Sidérurgie, Chimie, Textile, Pharma</w:t>
            </w:r>
          </w:p>
        </w:tc>
        <w:tc>
          <w:tcPr>
            <w:tcW w:type="dxa" w:w="3402"/>
            <w:tcBorders>
              <w:top w:val="single" w:sz="4" w:color="BFBFBF"/>
              <w:left w:val="single" w:sz="4" w:color="BFBFBF"/>
              <w:bottom w:val="single" w:sz="4" w:color="BFBFBF"/>
              <w:right w:val="single" w:sz="4" w:color="BFBFBF"/>
            </w:tcBorders>
            <w:vAlign w:val="center"/>
          </w:tcPr>
          <w:p>
            <w:r>
              <w:rPr>
                <w:rFonts w:ascii="Calibri" w:hAnsi="Calibri"/>
                <w:sz w:val="20"/>
              </w:rPr>
              <w:t>SYSCOHADA + IAS 2</w:t>
            </w:r>
          </w:p>
        </w:tc>
      </w:tr>
      <w:tr>
        <w:tc>
          <w:tcPr>
            <w:tcW w:type="dxa" w:w="1984"/>
            <w:shd w:val="clear" w:color="auto" w:fill="F2F2F2"/>
            <w:tcBorders>
              <w:top w:val="single" w:sz="4" w:color="BFBFBF"/>
              <w:left w:val="single" w:sz="4" w:color="BFBFBF"/>
              <w:bottom w:val="single" w:sz="4" w:color="BFBFBF"/>
              <w:right w:val="single" w:sz="4" w:color="BFBFBF"/>
            </w:tcBorders>
            <w:vAlign w:val="center"/>
          </w:tcPr>
          <w:p>
            <w:r>
              <w:rPr>
                <w:rFonts w:ascii="Calibri" w:hAnsi="Calibri"/>
                <w:sz w:val="20"/>
              </w:rPr>
              <w:t>Fintech</w:t>
            </w:r>
          </w:p>
        </w:tc>
        <w:tc>
          <w:tcPr>
            <w:tcW w:type="dxa" w:w="4252"/>
            <w:shd w:val="clear" w:color="auto" w:fill="F2F2F2"/>
            <w:tcBorders>
              <w:top w:val="single" w:sz="4" w:color="BFBFBF"/>
              <w:left w:val="single" w:sz="4" w:color="BFBFBF"/>
              <w:bottom w:val="single" w:sz="4" w:color="BFBFBF"/>
              <w:right w:val="single" w:sz="4" w:color="BFBFBF"/>
            </w:tcBorders>
            <w:vAlign w:val="center"/>
          </w:tcPr>
          <w:p>
            <w:r>
              <w:rPr>
                <w:rFonts w:ascii="Calibri" w:hAnsi="Calibri"/>
                <w:sz w:val="20"/>
              </w:rPr>
              <w:t>Paiement, Lending, Wealthtech, Insurtech, RegTech</w:t>
            </w:r>
          </w:p>
        </w:tc>
        <w:tc>
          <w:tcPr>
            <w:tcW w:type="dxa" w:w="3402"/>
            <w:shd w:val="clear" w:color="auto" w:fill="F2F2F2"/>
            <w:tcBorders>
              <w:top w:val="single" w:sz="4" w:color="BFBFBF"/>
              <w:left w:val="single" w:sz="4" w:color="BFBFBF"/>
              <w:bottom w:val="single" w:sz="4" w:color="BFBFBF"/>
              <w:right w:val="single" w:sz="4" w:color="BFBFBF"/>
            </w:tcBorders>
            <w:vAlign w:val="center"/>
          </w:tcPr>
          <w:p>
            <w:r>
              <w:rPr>
                <w:rFonts w:ascii="Calibri" w:hAnsi="Calibri"/>
                <w:sz w:val="20"/>
              </w:rPr>
              <w:t>SYSCOHADA / IFRS</w:t>
            </w:r>
          </w:p>
        </w:tc>
      </w:tr>
      <w:tr>
        <w:tc>
          <w:tcPr>
            <w:tcW w:type="dxa" w:w="1984"/>
            <w:tcBorders>
              <w:top w:val="single" w:sz="4" w:color="BFBFBF"/>
              <w:left w:val="single" w:sz="4" w:color="BFBFBF"/>
              <w:bottom w:val="single" w:sz="4" w:color="BFBFBF"/>
              <w:right w:val="single" w:sz="4" w:color="BFBFBF"/>
            </w:tcBorders>
            <w:vAlign w:val="center"/>
          </w:tcPr>
          <w:p>
            <w:r>
              <w:rPr>
                <w:rFonts w:ascii="Calibri" w:hAnsi="Calibri"/>
                <w:sz w:val="20"/>
              </w:rPr>
              <w:t>Services</w:t>
            </w:r>
          </w:p>
        </w:tc>
        <w:tc>
          <w:tcPr>
            <w:tcW w:type="dxa" w:w="4252"/>
            <w:tcBorders>
              <w:top w:val="single" w:sz="4" w:color="BFBFBF"/>
              <w:left w:val="single" w:sz="4" w:color="BFBFBF"/>
              <w:bottom w:val="single" w:sz="4" w:color="BFBFBF"/>
              <w:right w:val="single" w:sz="4" w:color="BFBFBF"/>
            </w:tcBorders>
            <w:vAlign w:val="center"/>
          </w:tcPr>
          <w:p>
            <w:r>
              <w:rPr>
                <w:rFonts w:ascii="Calibri" w:hAnsi="Calibri"/>
                <w:sz w:val="20"/>
              </w:rPr>
              <w:t>Conseil, Ingénierie, IT, RH, Communication, BPO</w:t>
            </w:r>
          </w:p>
        </w:tc>
        <w:tc>
          <w:tcPr>
            <w:tcW w:type="dxa" w:w="3402"/>
            <w:tcBorders>
              <w:top w:val="single" w:sz="4" w:color="BFBFBF"/>
              <w:left w:val="single" w:sz="4" w:color="BFBFBF"/>
              <w:bottom w:val="single" w:sz="4" w:color="BFBFBF"/>
              <w:right w:val="single" w:sz="4" w:color="BFBFBF"/>
            </w:tcBorders>
            <w:vAlign w:val="center"/>
          </w:tcPr>
          <w:p>
            <w:r>
              <w:rPr>
                <w:rFonts w:ascii="Calibri" w:hAnsi="Calibri"/>
                <w:sz w:val="20"/>
              </w:rPr>
              <w:t>SYSCOHADA / IFRS 15</w:t>
            </w:r>
          </w:p>
        </w:tc>
      </w:tr>
      <w:tr>
        <w:tc>
          <w:tcPr>
            <w:tcW w:type="dxa" w:w="1984"/>
            <w:shd w:val="clear" w:color="auto" w:fill="F2F2F2"/>
            <w:tcBorders>
              <w:top w:val="single" w:sz="4" w:color="BFBFBF"/>
              <w:left w:val="single" w:sz="4" w:color="BFBFBF"/>
              <w:bottom w:val="single" w:sz="4" w:color="BFBFBF"/>
              <w:right w:val="single" w:sz="4" w:color="BFBFBF"/>
            </w:tcBorders>
            <w:vAlign w:val="center"/>
          </w:tcPr>
          <w:p>
            <w:r>
              <w:rPr>
                <w:rFonts w:ascii="Calibri" w:hAnsi="Calibri"/>
                <w:sz w:val="20"/>
              </w:rPr>
              <w:t>Santé</w:t>
            </w:r>
          </w:p>
        </w:tc>
        <w:tc>
          <w:tcPr>
            <w:tcW w:type="dxa" w:w="4252"/>
            <w:shd w:val="clear" w:color="auto" w:fill="F2F2F2"/>
            <w:tcBorders>
              <w:top w:val="single" w:sz="4" w:color="BFBFBF"/>
              <w:left w:val="single" w:sz="4" w:color="BFBFBF"/>
              <w:bottom w:val="single" w:sz="4" w:color="BFBFBF"/>
              <w:right w:val="single" w:sz="4" w:color="BFBFBF"/>
            </w:tcBorders>
            <w:vAlign w:val="center"/>
          </w:tcPr>
          <w:p>
            <w:r>
              <w:rPr>
                <w:rFonts w:ascii="Calibri" w:hAnsi="Calibri"/>
                <w:sz w:val="20"/>
              </w:rPr>
              <w:t>Hôpitaux, Cliniques, Laboratoires, Imagerie</w:t>
            </w:r>
          </w:p>
        </w:tc>
        <w:tc>
          <w:tcPr>
            <w:tcW w:type="dxa" w:w="3402"/>
            <w:shd w:val="clear" w:color="auto" w:fill="F2F2F2"/>
            <w:tcBorders>
              <w:top w:val="single" w:sz="4" w:color="BFBFBF"/>
              <w:left w:val="single" w:sz="4" w:color="BFBFBF"/>
              <w:bottom w:val="single" w:sz="4" w:color="BFBFBF"/>
              <w:right w:val="single" w:sz="4" w:color="BFBFBF"/>
            </w:tcBorders>
            <w:vAlign w:val="center"/>
          </w:tcPr>
          <w:p>
            <w:r>
              <w:rPr>
                <w:rFonts w:ascii="Calibri" w:hAnsi="Calibri"/>
                <w:sz w:val="20"/>
              </w:rPr>
              <w:t>SYSCOHADA + adaptations</w:t>
            </w:r>
          </w:p>
        </w:tc>
      </w:tr>
      <w:tr>
        <w:tc>
          <w:tcPr>
            <w:tcW w:type="dxa" w:w="1984"/>
            <w:tcBorders>
              <w:top w:val="single" w:sz="4" w:color="BFBFBF"/>
              <w:left w:val="single" w:sz="4" w:color="BFBFBF"/>
              <w:bottom w:val="single" w:sz="4" w:color="BFBFBF"/>
              <w:right w:val="single" w:sz="4" w:color="BFBFBF"/>
            </w:tcBorders>
            <w:vAlign w:val="center"/>
          </w:tcPr>
          <w:p>
            <w:r>
              <w:rPr>
                <w:rFonts w:ascii="Calibri" w:hAnsi="Calibri"/>
                <w:sz w:val="20"/>
              </w:rPr>
              <w:t>ONG</w:t>
            </w:r>
          </w:p>
        </w:tc>
        <w:tc>
          <w:tcPr>
            <w:tcW w:type="dxa" w:w="4252"/>
            <w:tcBorders>
              <w:top w:val="single" w:sz="4" w:color="BFBFBF"/>
              <w:left w:val="single" w:sz="4" w:color="BFBFBF"/>
              <w:bottom w:val="single" w:sz="4" w:color="BFBFBF"/>
              <w:right w:val="single" w:sz="4" w:color="BFBFBF"/>
            </w:tcBorders>
            <w:vAlign w:val="center"/>
          </w:tcPr>
          <w:p>
            <w:r>
              <w:rPr>
                <w:rFonts w:ascii="Calibri" w:hAnsi="Calibri"/>
                <w:sz w:val="20"/>
              </w:rPr>
              <w:t>Internationale, Locale, Confessionnelle, Réseaux</w:t>
            </w:r>
          </w:p>
        </w:tc>
        <w:tc>
          <w:tcPr>
            <w:tcW w:type="dxa" w:w="3402"/>
            <w:tcBorders>
              <w:top w:val="single" w:sz="4" w:color="BFBFBF"/>
              <w:left w:val="single" w:sz="4" w:color="BFBFBF"/>
              <w:bottom w:val="single" w:sz="4" w:color="BFBFBF"/>
              <w:right w:val="single" w:sz="4" w:color="BFBFBF"/>
            </w:tcBorders>
            <w:vAlign w:val="center"/>
          </w:tcPr>
          <w:p>
            <w:r>
              <w:rPr>
                <w:rFonts w:ascii="Calibri" w:hAnsi="Calibri"/>
                <w:sz w:val="20"/>
              </w:rPr>
              <w:t>SYSCOHADA OBNL + bailleurs</w:t>
            </w:r>
          </w:p>
        </w:tc>
      </w:tr>
    </w:tbl>
    <w:p>
      <w:pPr>
        <w:spacing w:after="120"/>
      </w:pPr>
    </w:p>
    <w:p>
      <w:pPr>
        <w:pStyle w:val="Heading2"/>
        <w:spacing w:before="240" w:after="120"/>
      </w:pPr>
      <w:r>
        <w:rPr>
          <w:rFonts w:ascii="Calibri" w:hAnsi="Calibri"/>
          <w:b/>
          <w:color w:val="0A2540"/>
          <w:sz w:val="30"/>
        </w:rPr>
        <w:t>3.2 Le type de produit ou service</w:t>
      </w:r>
    </w:p>
    <w:p>
      <w:pPr>
        <w:spacing w:before="0" w:after="120"/>
        <w:jc w:val="both"/>
      </w:pPr>
      <w:r>
        <w:rPr>
          <w:rFonts w:ascii="Calibri" w:hAnsi="Calibri"/>
          <w:b w:val="0"/>
          <w:i w:val="0"/>
          <w:color w:val="000000"/>
          <w:sz w:val="22"/>
        </w:rPr>
        <w:t>Le second critère est la nature du revenu généré. Cette typologie détermine la mécanique de reconnaissance du chiffre d'affaires et la structure du BFR.</w:t>
      </w:r>
    </w:p>
    <w:tbl>
      <w:tblPr>
        <w:tblW w:type="auto" w:w="0"/>
        <w:jc w:val="center"/>
        <w:tblLayout w:type="fixed"/>
        <w:tblLook w:firstColumn="1" w:firstRow="1" w:lastColumn="0" w:lastRow="0" w:noHBand="0" w:noVBand="1" w:val="04A0"/>
      </w:tblPr>
      <w:tblGrid>
        <w:gridCol w:w="3135"/>
        <w:gridCol w:w="3135"/>
        <w:gridCol w:w="3135"/>
      </w:tblGrid>
      <w:tr>
        <w:tc>
          <w:tcPr>
            <w:tcW w:type="dxa" w:w="2551"/>
            <w:shd w:val="clear" w:color="auto" w:fill="0A2540"/>
            <w:tcBorders>
              <w:top w:val="single" w:sz="4" w:color="BFBFBF"/>
              <w:left w:val="single" w:sz="4" w:color="BFBFBF"/>
              <w:bottom w:val="single" w:sz="4" w:color="BFBFBF"/>
              <w:right w:val="single" w:sz="4" w:color="BFBFBF"/>
            </w:tcBorders>
            <w:vAlign w:val="center"/>
          </w:tcPr>
          <w:p>
            <w:pPr>
              <w:jc w:val="center"/>
            </w:pPr>
            <w:r>
              <w:rPr>
                <w:rFonts w:ascii="Calibri" w:hAnsi="Calibri"/>
                <w:b/>
                <w:color w:val="FFFFFF"/>
                <w:sz w:val="20"/>
              </w:rPr>
              <w:t>Type de revenu</w:t>
            </w:r>
          </w:p>
        </w:tc>
        <w:tc>
          <w:tcPr>
            <w:tcW w:type="dxa" w:w="3685"/>
            <w:shd w:val="clear" w:color="auto" w:fill="0A2540"/>
            <w:tcBorders>
              <w:top w:val="single" w:sz="4" w:color="BFBFBF"/>
              <w:left w:val="single" w:sz="4" w:color="BFBFBF"/>
              <w:bottom w:val="single" w:sz="4" w:color="BFBFBF"/>
              <w:right w:val="single" w:sz="4" w:color="BFBFBF"/>
            </w:tcBorders>
            <w:vAlign w:val="center"/>
          </w:tcPr>
          <w:p>
            <w:pPr>
              <w:jc w:val="center"/>
            </w:pPr>
            <w:r>
              <w:rPr>
                <w:rFonts w:ascii="Calibri" w:hAnsi="Calibri"/>
                <w:b/>
                <w:color w:val="FFFFFF"/>
                <w:sz w:val="20"/>
              </w:rPr>
              <w:t>Mécanique de reconnaissance</w:t>
            </w:r>
          </w:p>
        </w:tc>
        <w:tc>
          <w:tcPr>
            <w:tcW w:type="dxa" w:w="3402"/>
            <w:shd w:val="clear" w:color="auto" w:fill="0A2540"/>
            <w:tcBorders>
              <w:top w:val="single" w:sz="4" w:color="BFBFBF"/>
              <w:left w:val="single" w:sz="4" w:color="BFBFBF"/>
              <w:bottom w:val="single" w:sz="4" w:color="BFBFBF"/>
              <w:right w:val="single" w:sz="4" w:color="BFBFBF"/>
            </w:tcBorders>
            <w:vAlign w:val="center"/>
          </w:tcPr>
          <w:p>
            <w:pPr>
              <w:jc w:val="center"/>
            </w:pPr>
            <w:r>
              <w:rPr>
                <w:rFonts w:ascii="Calibri" w:hAnsi="Calibri"/>
                <w:b/>
                <w:color w:val="FFFFFF"/>
                <w:sz w:val="20"/>
              </w:rPr>
              <w:t>Secteurs concernés</w:t>
            </w:r>
          </w:p>
        </w:tc>
      </w:tr>
      <w:tr>
        <w:tc>
          <w:tcPr>
            <w:tcW w:type="dxa" w:w="2551"/>
            <w:tcBorders>
              <w:top w:val="single" w:sz="4" w:color="BFBFBF"/>
              <w:left w:val="single" w:sz="4" w:color="BFBFBF"/>
              <w:bottom w:val="single" w:sz="4" w:color="BFBFBF"/>
              <w:right w:val="single" w:sz="4" w:color="BFBFBF"/>
            </w:tcBorders>
            <w:vAlign w:val="center"/>
          </w:tcPr>
          <w:p>
            <w:r>
              <w:rPr>
                <w:rFonts w:ascii="Calibri" w:hAnsi="Calibri"/>
                <w:sz w:val="20"/>
              </w:rPr>
              <w:t>Vente de biens</w:t>
            </w:r>
          </w:p>
        </w:tc>
        <w:tc>
          <w:tcPr>
            <w:tcW w:type="dxa" w:w="3685"/>
            <w:tcBorders>
              <w:top w:val="single" w:sz="4" w:color="BFBFBF"/>
              <w:left w:val="single" w:sz="4" w:color="BFBFBF"/>
              <w:bottom w:val="single" w:sz="4" w:color="BFBFBF"/>
              <w:right w:val="single" w:sz="4" w:color="BFBFBF"/>
            </w:tcBorders>
            <w:vAlign w:val="center"/>
          </w:tcPr>
          <w:p>
            <w:r>
              <w:rPr>
                <w:rFonts w:ascii="Calibri" w:hAnsi="Calibri"/>
                <w:sz w:val="20"/>
              </w:rPr>
              <w:t>À la livraison / transfert de contrôle</w:t>
            </w:r>
          </w:p>
        </w:tc>
        <w:tc>
          <w:tcPr>
            <w:tcW w:type="dxa" w:w="3402"/>
            <w:tcBorders>
              <w:top w:val="single" w:sz="4" w:color="BFBFBF"/>
              <w:left w:val="single" w:sz="4" w:color="BFBFBF"/>
              <w:bottom w:val="single" w:sz="4" w:color="BFBFBF"/>
              <w:right w:val="single" w:sz="4" w:color="BFBFBF"/>
            </w:tcBorders>
            <w:vAlign w:val="center"/>
          </w:tcPr>
          <w:p>
            <w:r>
              <w:rPr>
                <w:rFonts w:ascii="Calibri" w:hAnsi="Calibri"/>
                <w:sz w:val="20"/>
              </w:rPr>
              <w:t>Commerce, Industrie</w:t>
            </w:r>
          </w:p>
        </w:tc>
      </w:tr>
      <w:tr>
        <w:tc>
          <w:tcPr>
            <w:tcW w:type="dxa" w:w="2551"/>
            <w:shd w:val="clear" w:color="auto" w:fill="F2F2F2"/>
            <w:tcBorders>
              <w:top w:val="single" w:sz="4" w:color="BFBFBF"/>
              <w:left w:val="single" w:sz="4" w:color="BFBFBF"/>
              <w:bottom w:val="single" w:sz="4" w:color="BFBFBF"/>
              <w:right w:val="single" w:sz="4" w:color="BFBFBF"/>
            </w:tcBorders>
            <w:vAlign w:val="center"/>
          </w:tcPr>
          <w:p>
            <w:r>
              <w:rPr>
                <w:rFonts w:ascii="Calibri" w:hAnsi="Calibri"/>
                <w:sz w:val="20"/>
              </w:rPr>
              <w:t>Prestation de services ponctuelle</w:t>
            </w:r>
          </w:p>
        </w:tc>
        <w:tc>
          <w:tcPr>
            <w:tcW w:type="dxa" w:w="3685"/>
            <w:shd w:val="clear" w:color="auto" w:fill="F2F2F2"/>
            <w:tcBorders>
              <w:top w:val="single" w:sz="4" w:color="BFBFBF"/>
              <w:left w:val="single" w:sz="4" w:color="BFBFBF"/>
              <w:bottom w:val="single" w:sz="4" w:color="BFBFBF"/>
              <w:right w:val="single" w:sz="4" w:color="BFBFBF"/>
            </w:tcBorders>
            <w:vAlign w:val="center"/>
          </w:tcPr>
          <w:p>
            <w:r>
              <w:rPr>
                <w:rFonts w:ascii="Calibri" w:hAnsi="Calibri"/>
                <w:sz w:val="20"/>
              </w:rPr>
              <w:t>À la réalisation</w:t>
            </w:r>
          </w:p>
        </w:tc>
        <w:tc>
          <w:tcPr>
            <w:tcW w:type="dxa" w:w="3402"/>
            <w:shd w:val="clear" w:color="auto" w:fill="F2F2F2"/>
            <w:tcBorders>
              <w:top w:val="single" w:sz="4" w:color="BFBFBF"/>
              <w:left w:val="single" w:sz="4" w:color="BFBFBF"/>
              <w:bottom w:val="single" w:sz="4" w:color="BFBFBF"/>
              <w:right w:val="single" w:sz="4" w:color="BFBFBF"/>
            </w:tcBorders>
            <w:vAlign w:val="center"/>
          </w:tcPr>
          <w:p>
            <w:r>
              <w:rPr>
                <w:rFonts w:ascii="Calibri" w:hAnsi="Calibri"/>
                <w:sz w:val="20"/>
              </w:rPr>
              <w:t>Services, Santé</w:t>
            </w:r>
          </w:p>
        </w:tc>
      </w:tr>
      <w:tr>
        <w:tc>
          <w:tcPr>
            <w:tcW w:type="dxa" w:w="2551"/>
            <w:tcBorders>
              <w:top w:val="single" w:sz="4" w:color="BFBFBF"/>
              <w:left w:val="single" w:sz="4" w:color="BFBFBF"/>
              <w:bottom w:val="single" w:sz="4" w:color="BFBFBF"/>
              <w:right w:val="single" w:sz="4" w:color="BFBFBF"/>
            </w:tcBorders>
            <w:vAlign w:val="center"/>
          </w:tcPr>
          <w:p>
            <w:r>
              <w:rPr>
                <w:rFonts w:ascii="Calibri" w:hAnsi="Calibri"/>
                <w:sz w:val="20"/>
              </w:rPr>
              <w:t>Contrats long terme</w:t>
            </w:r>
          </w:p>
        </w:tc>
        <w:tc>
          <w:tcPr>
            <w:tcW w:type="dxa" w:w="3685"/>
            <w:tcBorders>
              <w:top w:val="single" w:sz="4" w:color="BFBFBF"/>
              <w:left w:val="single" w:sz="4" w:color="BFBFBF"/>
              <w:bottom w:val="single" w:sz="4" w:color="BFBFBF"/>
              <w:right w:val="single" w:sz="4" w:color="BFBFBF"/>
            </w:tcBorders>
            <w:vAlign w:val="center"/>
          </w:tcPr>
          <w:p>
            <w:r>
              <w:rPr>
                <w:rFonts w:ascii="Calibri" w:hAnsi="Calibri"/>
                <w:sz w:val="20"/>
              </w:rPr>
              <w:t>À l'avancement (POC, IFRS 15)</w:t>
            </w:r>
          </w:p>
        </w:tc>
        <w:tc>
          <w:tcPr>
            <w:tcW w:type="dxa" w:w="3402"/>
            <w:tcBorders>
              <w:top w:val="single" w:sz="4" w:color="BFBFBF"/>
              <w:left w:val="single" w:sz="4" w:color="BFBFBF"/>
              <w:bottom w:val="single" w:sz="4" w:color="BFBFBF"/>
              <w:right w:val="single" w:sz="4" w:color="BFBFBF"/>
            </w:tcBorders>
            <w:vAlign w:val="center"/>
          </w:tcPr>
          <w:p>
            <w:r>
              <w:rPr>
                <w:rFonts w:ascii="Calibri" w:hAnsi="Calibri"/>
                <w:sz w:val="20"/>
              </w:rPr>
              <w:t>BTP, Ingénierie</w:t>
            </w:r>
          </w:p>
        </w:tc>
      </w:tr>
      <w:tr>
        <w:tc>
          <w:tcPr>
            <w:tcW w:type="dxa" w:w="2551"/>
            <w:shd w:val="clear" w:color="auto" w:fill="F2F2F2"/>
            <w:tcBorders>
              <w:top w:val="single" w:sz="4" w:color="BFBFBF"/>
              <w:left w:val="single" w:sz="4" w:color="BFBFBF"/>
              <w:bottom w:val="single" w:sz="4" w:color="BFBFBF"/>
              <w:right w:val="single" w:sz="4" w:color="BFBFBF"/>
            </w:tcBorders>
            <w:vAlign w:val="center"/>
          </w:tcPr>
          <w:p>
            <w:r>
              <w:rPr>
                <w:rFonts w:ascii="Calibri" w:hAnsi="Calibri"/>
                <w:sz w:val="20"/>
              </w:rPr>
              <w:t>Abonnement / récurrent</w:t>
            </w:r>
          </w:p>
        </w:tc>
        <w:tc>
          <w:tcPr>
            <w:tcW w:type="dxa" w:w="3685"/>
            <w:shd w:val="clear" w:color="auto" w:fill="F2F2F2"/>
            <w:tcBorders>
              <w:top w:val="single" w:sz="4" w:color="BFBFBF"/>
              <w:left w:val="single" w:sz="4" w:color="BFBFBF"/>
              <w:bottom w:val="single" w:sz="4" w:color="BFBFBF"/>
              <w:right w:val="single" w:sz="4" w:color="BFBFBF"/>
            </w:tcBorders>
            <w:vAlign w:val="center"/>
          </w:tcPr>
          <w:p>
            <w:r>
              <w:rPr>
                <w:rFonts w:ascii="Calibri" w:hAnsi="Calibri"/>
                <w:sz w:val="20"/>
              </w:rPr>
              <w:t>Étalé sur la période de service</w:t>
            </w:r>
          </w:p>
        </w:tc>
        <w:tc>
          <w:tcPr>
            <w:tcW w:type="dxa" w:w="3402"/>
            <w:shd w:val="clear" w:color="auto" w:fill="F2F2F2"/>
            <w:tcBorders>
              <w:top w:val="single" w:sz="4" w:color="BFBFBF"/>
              <w:left w:val="single" w:sz="4" w:color="BFBFBF"/>
              <w:bottom w:val="single" w:sz="4" w:color="BFBFBF"/>
              <w:right w:val="single" w:sz="4" w:color="BFBFBF"/>
            </w:tcBorders>
            <w:vAlign w:val="center"/>
          </w:tcPr>
          <w:p>
            <w:r>
              <w:rPr>
                <w:rFonts w:ascii="Calibri" w:hAnsi="Calibri"/>
                <w:sz w:val="20"/>
              </w:rPr>
              <w:t>Fintech, SaaS, Services</w:t>
            </w:r>
          </w:p>
        </w:tc>
      </w:tr>
      <w:tr>
        <w:tc>
          <w:tcPr>
            <w:tcW w:type="dxa" w:w="2551"/>
            <w:tcBorders>
              <w:top w:val="single" w:sz="4" w:color="BFBFBF"/>
              <w:left w:val="single" w:sz="4" w:color="BFBFBF"/>
              <w:bottom w:val="single" w:sz="4" w:color="BFBFBF"/>
              <w:right w:val="single" w:sz="4" w:color="BFBFBF"/>
            </w:tcBorders>
            <w:vAlign w:val="center"/>
          </w:tcPr>
          <w:p>
            <w:r>
              <w:rPr>
                <w:rFonts w:ascii="Calibri" w:hAnsi="Calibri"/>
                <w:sz w:val="20"/>
              </w:rPr>
              <w:t>Marge d'intermédiation</w:t>
            </w:r>
          </w:p>
        </w:tc>
        <w:tc>
          <w:tcPr>
            <w:tcW w:type="dxa" w:w="3685"/>
            <w:tcBorders>
              <w:top w:val="single" w:sz="4" w:color="BFBFBF"/>
              <w:left w:val="single" w:sz="4" w:color="BFBFBF"/>
              <w:bottom w:val="single" w:sz="4" w:color="BFBFBF"/>
              <w:right w:val="single" w:sz="4" w:color="BFBFBF"/>
            </w:tcBorders>
            <w:vAlign w:val="center"/>
          </w:tcPr>
          <w:p>
            <w:r>
              <w:rPr>
                <w:rFonts w:ascii="Calibri" w:hAnsi="Calibri"/>
                <w:sz w:val="20"/>
              </w:rPr>
              <w:t>Sur chaque transaction</w:t>
            </w:r>
          </w:p>
        </w:tc>
        <w:tc>
          <w:tcPr>
            <w:tcW w:type="dxa" w:w="3402"/>
            <w:tcBorders>
              <w:top w:val="single" w:sz="4" w:color="BFBFBF"/>
              <w:left w:val="single" w:sz="4" w:color="BFBFBF"/>
              <w:bottom w:val="single" w:sz="4" w:color="BFBFBF"/>
              <w:right w:val="single" w:sz="4" w:color="BFBFBF"/>
            </w:tcBorders>
            <w:vAlign w:val="center"/>
          </w:tcPr>
          <w:p>
            <w:r>
              <w:rPr>
                <w:rFonts w:ascii="Calibri" w:hAnsi="Calibri"/>
                <w:sz w:val="20"/>
              </w:rPr>
              <w:t>Banque, Fintech paiement</w:t>
            </w:r>
          </w:p>
        </w:tc>
      </w:tr>
      <w:tr>
        <w:tc>
          <w:tcPr>
            <w:tcW w:type="dxa" w:w="2551"/>
            <w:shd w:val="clear" w:color="auto" w:fill="F2F2F2"/>
            <w:tcBorders>
              <w:top w:val="single" w:sz="4" w:color="BFBFBF"/>
              <w:left w:val="single" w:sz="4" w:color="BFBFBF"/>
              <w:bottom w:val="single" w:sz="4" w:color="BFBFBF"/>
              <w:right w:val="single" w:sz="4" w:color="BFBFBF"/>
            </w:tcBorders>
            <w:vAlign w:val="center"/>
          </w:tcPr>
          <w:p>
            <w:r>
              <w:rPr>
                <w:rFonts w:ascii="Calibri" w:hAnsi="Calibri"/>
                <w:sz w:val="20"/>
              </w:rPr>
              <w:t>Primes &amp; sinistres</w:t>
            </w:r>
          </w:p>
        </w:tc>
        <w:tc>
          <w:tcPr>
            <w:tcW w:type="dxa" w:w="3685"/>
            <w:shd w:val="clear" w:color="auto" w:fill="F2F2F2"/>
            <w:tcBorders>
              <w:top w:val="single" w:sz="4" w:color="BFBFBF"/>
              <w:left w:val="single" w:sz="4" w:color="BFBFBF"/>
              <w:bottom w:val="single" w:sz="4" w:color="BFBFBF"/>
              <w:right w:val="single" w:sz="4" w:color="BFBFBF"/>
            </w:tcBorders>
            <w:vAlign w:val="center"/>
          </w:tcPr>
          <w:p>
            <w:r>
              <w:rPr>
                <w:rFonts w:ascii="Calibri" w:hAnsi="Calibri"/>
                <w:sz w:val="20"/>
              </w:rPr>
              <w:t>Comptabilité technique CIMA / IFRS 17</w:t>
            </w:r>
          </w:p>
        </w:tc>
        <w:tc>
          <w:tcPr>
            <w:tcW w:type="dxa" w:w="3402"/>
            <w:shd w:val="clear" w:color="auto" w:fill="F2F2F2"/>
            <w:tcBorders>
              <w:top w:val="single" w:sz="4" w:color="BFBFBF"/>
              <w:left w:val="single" w:sz="4" w:color="BFBFBF"/>
              <w:bottom w:val="single" w:sz="4" w:color="BFBFBF"/>
              <w:right w:val="single" w:sz="4" w:color="BFBFBF"/>
            </w:tcBorders>
            <w:vAlign w:val="center"/>
          </w:tcPr>
          <w:p>
            <w:r>
              <w:rPr>
                <w:rFonts w:ascii="Calibri" w:hAnsi="Calibri"/>
                <w:sz w:val="20"/>
              </w:rPr>
              <w:t>Assurance</w:t>
            </w:r>
          </w:p>
        </w:tc>
      </w:tr>
      <w:tr>
        <w:tc>
          <w:tcPr>
            <w:tcW w:type="dxa" w:w="2551"/>
            <w:tcBorders>
              <w:top w:val="single" w:sz="4" w:color="BFBFBF"/>
              <w:left w:val="single" w:sz="4" w:color="BFBFBF"/>
              <w:bottom w:val="single" w:sz="4" w:color="BFBFBF"/>
              <w:right w:val="single" w:sz="4" w:color="BFBFBF"/>
            </w:tcBorders>
            <w:vAlign w:val="center"/>
          </w:tcPr>
          <w:p>
            <w:r>
              <w:rPr>
                <w:rFonts w:ascii="Calibri" w:hAnsi="Calibri"/>
                <w:sz w:val="20"/>
              </w:rPr>
              <w:t>Subventions &amp; dons</w:t>
            </w:r>
          </w:p>
        </w:tc>
        <w:tc>
          <w:tcPr>
            <w:tcW w:type="dxa" w:w="3685"/>
            <w:tcBorders>
              <w:top w:val="single" w:sz="4" w:color="BFBFBF"/>
              <w:left w:val="single" w:sz="4" w:color="BFBFBF"/>
              <w:bottom w:val="single" w:sz="4" w:color="BFBFBF"/>
              <w:right w:val="single" w:sz="4" w:color="BFBFBF"/>
            </w:tcBorders>
            <w:vAlign w:val="center"/>
          </w:tcPr>
          <w:p>
            <w:r>
              <w:rPr>
                <w:rFonts w:ascii="Calibri" w:hAnsi="Calibri"/>
                <w:sz w:val="20"/>
              </w:rPr>
              <w:t>Selon conditions contractuelles bailleur</w:t>
            </w:r>
          </w:p>
        </w:tc>
        <w:tc>
          <w:tcPr>
            <w:tcW w:type="dxa" w:w="3402"/>
            <w:tcBorders>
              <w:top w:val="single" w:sz="4" w:color="BFBFBF"/>
              <w:left w:val="single" w:sz="4" w:color="BFBFBF"/>
              <w:bottom w:val="single" w:sz="4" w:color="BFBFBF"/>
              <w:right w:val="single" w:sz="4" w:color="BFBFBF"/>
            </w:tcBorders>
            <w:vAlign w:val="center"/>
          </w:tcPr>
          <w:p>
            <w:r>
              <w:rPr>
                <w:rFonts w:ascii="Calibri" w:hAnsi="Calibri"/>
                <w:sz w:val="20"/>
              </w:rPr>
              <w:t>ONG, Santé publique</w:t>
            </w:r>
          </w:p>
        </w:tc>
      </w:tr>
      <w:tr>
        <w:tc>
          <w:tcPr>
            <w:tcW w:type="dxa" w:w="2551"/>
            <w:shd w:val="clear" w:color="auto" w:fill="F2F2F2"/>
            <w:tcBorders>
              <w:top w:val="single" w:sz="4" w:color="BFBFBF"/>
              <w:left w:val="single" w:sz="4" w:color="BFBFBF"/>
              <w:bottom w:val="single" w:sz="4" w:color="BFBFBF"/>
              <w:right w:val="single" w:sz="4" w:color="BFBFBF"/>
            </w:tcBorders>
            <w:vAlign w:val="center"/>
          </w:tcPr>
          <w:p>
            <w:r>
              <w:rPr>
                <w:rFonts w:ascii="Calibri" w:hAnsi="Calibri"/>
                <w:sz w:val="20"/>
              </w:rPr>
              <w:t>Royalties / licences</w:t>
            </w:r>
          </w:p>
        </w:tc>
        <w:tc>
          <w:tcPr>
            <w:tcW w:type="dxa" w:w="3685"/>
            <w:shd w:val="clear" w:color="auto" w:fill="F2F2F2"/>
            <w:tcBorders>
              <w:top w:val="single" w:sz="4" w:color="BFBFBF"/>
              <w:left w:val="single" w:sz="4" w:color="BFBFBF"/>
              <w:bottom w:val="single" w:sz="4" w:color="BFBFBF"/>
              <w:right w:val="single" w:sz="4" w:color="BFBFBF"/>
            </w:tcBorders>
            <w:vAlign w:val="center"/>
          </w:tcPr>
          <w:p>
            <w:r>
              <w:rPr>
                <w:rFonts w:ascii="Calibri" w:hAnsi="Calibri"/>
                <w:sz w:val="20"/>
              </w:rPr>
              <w:t>À l'usage ou à la signature selon contrat</w:t>
            </w:r>
          </w:p>
        </w:tc>
        <w:tc>
          <w:tcPr>
            <w:tcW w:type="dxa" w:w="3402"/>
            <w:shd w:val="clear" w:color="auto" w:fill="F2F2F2"/>
            <w:tcBorders>
              <w:top w:val="single" w:sz="4" w:color="BFBFBF"/>
              <w:left w:val="single" w:sz="4" w:color="BFBFBF"/>
              <w:bottom w:val="single" w:sz="4" w:color="BFBFBF"/>
              <w:right w:val="single" w:sz="4" w:color="BFBFBF"/>
            </w:tcBorders>
            <w:vAlign w:val="center"/>
          </w:tcPr>
          <w:p>
            <w:r>
              <w:rPr>
                <w:rFonts w:ascii="Calibri" w:hAnsi="Calibri"/>
                <w:sz w:val="20"/>
              </w:rPr>
              <w:t>Services, Industrie</w:t>
            </w:r>
          </w:p>
        </w:tc>
      </w:tr>
    </w:tbl>
    <w:p>
      <w:pPr>
        <w:spacing w:after="120"/>
      </w:pPr>
    </w:p>
    <w:p>
      <w:pPr>
        <w:pStyle w:val="Heading2"/>
        <w:spacing w:before="240" w:after="120"/>
      </w:pPr>
      <w:r>
        <w:rPr>
          <w:rFonts w:ascii="Calibri" w:hAnsi="Calibri"/>
          <w:b/>
          <w:color w:val="0A2540"/>
          <w:sz w:val="30"/>
        </w:rPr>
        <w:t>3.3 La taille de l'entité</w:t>
      </w:r>
    </w:p>
    <w:p>
      <w:pPr>
        <w:spacing w:before="0" w:after="120"/>
        <w:jc w:val="both"/>
      </w:pPr>
      <w:r>
        <w:rPr>
          <w:rFonts w:ascii="Calibri" w:hAnsi="Calibri"/>
          <w:b w:val="0"/>
          <w:i w:val="0"/>
          <w:color w:val="000000"/>
          <w:sz w:val="22"/>
        </w:rPr>
        <w:t>La taille structure le niveau de granularité requis pour la modélisation. Une TPE n'a pas besoin du même niveau de détail qu'une grande entreprise multi-filiales.</w:t>
      </w:r>
    </w:p>
    <w:tbl>
      <w:tblPr>
        <w:tblW w:type="auto" w:w="0"/>
        <w:jc w:val="center"/>
        <w:tblLayout w:type="fixed"/>
        <w:tblLook w:firstColumn="1" w:firstRow="1" w:lastColumn="0" w:lastRow="0" w:noHBand="0" w:noVBand="1" w:val="04A0"/>
      </w:tblPr>
      <w:tblGrid>
        <w:gridCol w:w="2351"/>
        <w:gridCol w:w="2351"/>
        <w:gridCol w:w="2351"/>
        <w:gridCol w:w="2351"/>
      </w:tblGrid>
      <w:tr>
        <w:tc>
          <w:tcPr>
            <w:tcW w:type="dxa" w:w="2268"/>
            <w:shd w:val="clear" w:color="auto" w:fill="0A2540"/>
            <w:tcBorders>
              <w:top w:val="single" w:sz="4" w:color="BFBFBF"/>
              <w:left w:val="single" w:sz="4" w:color="BFBFBF"/>
              <w:bottom w:val="single" w:sz="4" w:color="BFBFBF"/>
              <w:right w:val="single" w:sz="4" w:color="BFBFBF"/>
            </w:tcBorders>
            <w:vAlign w:val="center"/>
          </w:tcPr>
          <w:p>
            <w:pPr>
              <w:jc w:val="center"/>
            </w:pPr>
            <w:r>
              <w:rPr>
                <w:rFonts w:ascii="Calibri" w:hAnsi="Calibri"/>
                <w:b/>
                <w:color w:val="FFFFFF"/>
                <w:sz w:val="20"/>
              </w:rPr>
              <w:t>Catégorie</w:t>
            </w:r>
          </w:p>
        </w:tc>
        <w:tc>
          <w:tcPr>
            <w:tcW w:type="dxa" w:w="1701"/>
            <w:shd w:val="clear" w:color="auto" w:fill="0A2540"/>
            <w:tcBorders>
              <w:top w:val="single" w:sz="4" w:color="BFBFBF"/>
              <w:left w:val="single" w:sz="4" w:color="BFBFBF"/>
              <w:bottom w:val="single" w:sz="4" w:color="BFBFBF"/>
              <w:right w:val="single" w:sz="4" w:color="BFBFBF"/>
            </w:tcBorders>
            <w:vAlign w:val="center"/>
          </w:tcPr>
          <w:p>
            <w:pPr>
              <w:jc w:val="center"/>
            </w:pPr>
            <w:r>
              <w:rPr>
                <w:rFonts w:ascii="Calibri" w:hAnsi="Calibri"/>
                <w:b/>
                <w:color w:val="FFFFFF"/>
                <w:sz w:val="20"/>
              </w:rPr>
              <w:t>Effectif</w:t>
            </w:r>
          </w:p>
        </w:tc>
        <w:tc>
          <w:tcPr>
            <w:tcW w:type="dxa" w:w="2268"/>
            <w:shd w:val="clear" w:color="auto" w:fill="0A2540"/>
            <w:tcBorders>
              <w:top w:val="single" w:sz="4" w:color="BFBFBF"/>
              <w:left w:val="single" w:sz="4" w:color="BFBFBF"/>
              <w:bottom w:val="single" w:sz="4" w:color="BFBFBF"/>
              <w:right w:val="single" w:sz="4" w:color="BFBFBF"/>
            </w:tcBorders>
            <w:vAlign w:val="center"/>
          </w:tcPr>
          <w:p>
            <w:pPr>
              <w:jc w:val="center"/>
            </w:pPr>
            <w:r>
              <w:rPr>
                <w:rFonts w:ascii="Calibri" w:hAnsi="Calibri"/>
                <w:b/>
                <w:color w:val="FFFFFF"/>
                <w:sz w:val="20"/>
              </w:rPr>
              <w:t>CA annuel</w:t>
            </w:r>
          </w:p>
        </w:tc>
        <w:tc>
          <w:tcPr>
            <w:tcW w:type="dxa" w:w="3402"/>
            <w:shd w:val="clear" w:color="auto" w:fill="0A2540"/>
            <w:tcBorders>
              <w:top w:val="single" w:sz="4" w:color="BFBFBF"/>
              <w:left w:val="single" w:sz="4" w:color="BFBFBF"/>
              <w:bottom w:val="single" w:sz="4" w:color="BFBFBF"/>
              <w:right w:val="single" w:sz="4" w:color="BFBFBF"/>
            </w:tcBorders>
            <w:vAlign w:val="center"/>
          </w:tcPr>
          <w:p>
            <w:pPr>
              <w:jc w:val="center"/>
            </w:pPr>
            <w:r>
              <w:rPr>
                <w:rFonts w:ascii="Calibri" w:hAnsi="Calibri"/>
                <w:b/>
                <w:color w:val="FFFFFF"/>
                <w:sz w:val="20"/>
              </w:rPr>
              <w:t>Granularité conseillée</w:t>
            </w:r>
          </w:p>
        </w:tc>
      </w:tr>
      <w:tr>
        <w:tc>
          <w:tcPr>
            <w:tcW w:type="dxa" w:w="2268"/>
            <w:tcBorders>
              <w:top w:val="single" w:sz="4" w:color="BFBFBF"/>
              <w:left w:val="single" w:sz="4" w:color="BFBFBF"/>
              <w:bottom w:val="single" w:sz="4" w:color="BFBFBF"/>
              <w:right w:val="single" w:sz="4" w:color="BFBFBF"/>
            </w:tcBorders>
            <w:vAlign w:val="center"/>
          </w:tcPr>
          <w:p>
            <w:r>
              <w:rPr>
                <w:rFonts w:ascii="Calibri" w:hAnsi="Calibri"/>
                <w:sz w:val="20"/>
              </w:rPr>
              <w:t>Micro / TPE</w:t>
            </w:r>
          </w:p>
        </w:tc>
        <w:tc>
          <w:tcPr>
            <w:tcW w:type="dxa" w:w="1701"/>
            <w:tcBorders>
              <w:top w:val="single" w:sz="4" w:color="BFBFBF"/>
              <w:left w:val="single" w:sz="4" w:color="BFBFBF"/>
              <w:bottom w:val="single" w:sz="4" w:color="BFBFBF"/>
              <w:right w:val="single" w:sz="4" w:color="BFBFBF"/>
            </w:tcBorders>
            <w:vAlign w:val="center"/>
          </w:tcPr>
          <w:p>
            <w:r>
              <w:rPr>
                <w:rFonts w:ascii="Calibri" w:hAnsi="Calibri"/>
                <w:sz w:val="20"/>
              </w:rPr>
              <w:t>≤ 10</w:t>
            </w:r>
          </w:p>
        </w:tc>
        <w:tc>
          <w:tcPr>
            <w:tcW w:type="dxa" w:w="2268"/>
            <w:tcBorders>
              <w:top w:val="single" w:sz="4" w:color="BFBFBF"/>
              <w:left w:val="single" w:sz="4" w:color="BFBFBF"/>
              <w:bottom w:val="single" w:sz="4" w:color="BFBFBF"/>
              <w:right w:val="single" w:sz="4" w:color="BFBFBF"/>
            </w:tcBorders>
            <w:vAlign w:val="center"/>
          </w:tcPr>
          <w:p>
            <w:r>
              <w:rPr>
                <w:rFonts w:ascii="Calibri" w:hAnsi="Calibri"/>
                <w:sz w:val="20"/>
              </w:rPr>
              <w:t>&lt; 500 M FCFA</w:t>
            </w:r>
          </w:p>
        </w:tc>
        <w:tc>
          <w:tcPr>
            <w:tcW w:type="dxa" w:w="3402"/>
            <w:tcBorders>
              <w:top w:val="single" w:sz="4" w:color="BFBFBF"/>
              <w:left w:val="single" w:sz="4" w:color="BFBFBF"/>
              <w:bottom w:val="single" w:sz="4" w:color="BFBFBF"/>
              <w:right w:val="single" w:sz="4" w:color="BFBFBF"/>
            </w:tcBorders>
            <w:vAlign w:val="center"/>
          </w:tcPr>
          <w:p>
            <w:r>
              <w:rPr>
                <w:rFonts w:ascii="Calibri" w:hAnsi="Calibri"/>
                <w:sz w:val="20"/>
              </w:rPr>
              <w:t>Annuelle, P&amp;L simplifié</w:t>
            </w:r>
          </w:p>
        </w:tc>
      </w:tr>
      <w:tr>
        <w:tc>
          <w:tcPr>
            <w:tcW w:type="dxa" w:w="2268"/>
            <w:shd w:val="clear" w:color="auto" w:fill="F2F2F2"/>
            <w:tcBorders>
              <w:top w:val="single" w:sz="4" w:color="BFBFBF"/>
              <w:left w:val="single" w:sz="4" w:color="BFBFBF"/>
              <w:bottom w:val="single" w:sz="4" w:color="BFBFBF"/>
              <w:right w:val="single" w:sz="4" w:color="BFBFBF"/>
            </w:tcBorders>
            <w:vAlign w:val="center"/>
          </w:tcPr>
          <w:p>
            <w:r>
              <w:rPr>
                <w:rFonts w:ascii="Calibri" w:hAnsi="Calibri"/>
                <w:sz w:val="20"/>
              </w:rPr>
              <w:t>Petite</w:t>
            </w:r>
          </w:p>
        </w:tc>
        <w:tc>
          <w:tcPr>
            <w:tcW w:type="dxa" w:w="1701"/>
            <w:shd w:val="clear" w:color="auto" w:fill="F2F2F2"/>
            <w:tcBorders>
              <w:top w:val="single" w:sz="4" w:color="BFBFBF"/>
              <w:left w:val="single" w:sz="4" w:color="BFBFBF"/>
              <w:bottom w:val="single" w:sz="4" w:color="BFBFBF"/>
              <w:right w:val="single" w:sz="4" w:color="BFBFBF"/>
            </w:tcBorders>
            <w:vAlign w:val="center"/>
          </w:tcPr>
          <w:p>
            <w:r>
              <w:rPr>
                <w:rFonts w:ascii="Calibri" w:hAnsi="Calibri"/>
                <w:sz w:val="20"/>
              </w:rPr>
              <w:t>11 à 50</w:t>
            </w:r>
          </w:p>
        </w:tc>
        <w:tc>
          <w:tcPr>
            <w:tcW w:type="dxa" w:w="2268"/>
            <w:shd w:val="clear" w:color="auto" w:fill="F2F2F2"/>
            <w:tcBorders>
              <w:top w:val="single" w:sz="4" w:color="BFBFBF"/>
              <w:left w:val="single" w:sz="4" w:color="BFBFBF"/>
              <w:bottom w:val="single" w:sz="4" w:color="BFBFBF"/>
              <w:right w:val="single" w:sz="4" w:color="BFBFBF"/>
            </w:tcBorders>
            <w:vAlign w:val="center"/>
          </w:tcPr>
          <w:p>
            <w:r>
              <w:rPr>
                <w:rFonts w:ascii="Calibri" w:hAnsi="Calibri"/>
                <w:sz w:val="20"/>
              </w:rPr>
              <w:t>0,5 à 5 Md FCFA</w:t>
            </w:r>
          </w:p>
        </w:tc>
        <w:tc>
          <w:tcPr>
            <w:tcW w:type="dxa" w:w="3402"/>
            <w:shd w:val="clear" w:color="auto" w:fill="F2F2F2"/>
            <w:tcBorders>
              <w:top w:val="single" w:sz="4" w:color="BFBFBF"/>
              <w:left w:val="single" w:sz="4" w:color="BFBFBF"/>
              <w:bottom w:val="single" w:sz="4" w:color="BFBFBF"/>
              <w:right w:val="single" w:sz="4" w:color="BFBFBF"/>
            </w:tcBorders>
            <w:vAlign w:val="center"/>
          </w:tcPr>
          <w:p>
            <w:r>
              <w:rPr>
                <w:rFonts w:ascii="Calibri" w:hAnsi="Calibri"/>
                <w:sz w:val="20"/>
              </w:rPr>
              <w:t>Annuelle, mensuelle Y1</w:t>
            </w:r>
          </w:p>
        </w:tc>
      </w:tr>
      <w:tr>
        <w:tc>
          <w:tcPr>
            <w:tcW w:type="dxa" w:w="2268"/>
            <w:tcBorders>
              <w:top w:val="single" w:sz="4" w:color="BFBFBF"/>
              <w:left w:val="single" w:sz="4" w:color="BFBFBF"/>
              <w:bottom w:val="single" w:sz="4" w:color="BFBFBF"/>
              <w:right w:val="single" w:sz="4" w:color="BFBFBF"/>
            </w:tcBorders>
            <w:vAlign w:val="center"/>
          </w:tcPr>
          <w:p>
            <w:r>
              <w:rPr>
                <w:rFonts w:ascii="Calibri" w:hAnsi="Calibri"/>
                <w:sz w:val="20"/>
              </w:rPr>
              <w:t>Moyenne (PME)</w:t>
            </w:r>
          </w:p>
        </w:tc>
        <w:tc>
          <w:tcPr>
            <w:tcW w:type="dxa" w:w="1701"/>
            <w:tcBorders>
              <w:top w:val="single" w:sz="4" w:color="BFBFBF"/>
              <w:left w:val="single" w:sz="4" w:color="BFBFBF"/>
              <w:bottom w:val="single" w:sz="4" w:color="BFBFBF"/>
              <w:right w:val="single" w:sz="4" w:color="BFBFBF"/>
            </w:tcBorders>
            <w:vAlign w:val="center"/>
          </w:tcPr>
          <w:p>
            <w:r>
              <w:rPr>
                <w:rFonts w:ascii="Calibri" w:hAnsi="Calibri"/>
                <w:sz w:val="20"/>
              </w:rPr>
              <w:t>51 à 200</w:t>
            </w:r>
          </w:p>
        </w:tc>
        <w:tc>
          <w:tcPr>
            <w:tcW w:type="dxa" w:w="2268"/>
            <w:tcBorders>
              <w:top w:val="single" w:sz="4" w:color="BFBFBF"/>
              <w:left w:val="single" w:sz="4" w:color="BFBFBF"/>
              <w:bottom w:val="single" w:sz="4" w:color="BFBFBF"/>
              <w:right w:val="single" w:sz="4" w:color="BFBFBF"/>
            </w:tcBorders>
            <w:vAlign w:val="center"/>
          </w:tcPr>
          <w:p>
            <w:r>
              <w:rPr>
                <w:rFonts w:ascii="Calibri" w:hAnsi="Calibri"/>
                <w:sz w:val="20"/>
              </w:rPr>
              <w:t>5 à 30 Md FCFA</w:t>
            </w:r>
          </w:p>
        </w:tc>
        <w:tc>
          <w:tcPr>
            <w:tcW w:type="dxa" w:w="3402"/>
            <w:tcBorders>
              <w:top w:val="single" w:sz="4" w:color="BFBFBF"/>
              <w:left w:val="single" w:sz="4" w:color="BFBFBF"/>
              <w:bottom w:val="single" w:sz="4" w:color="BFBFBF"/>
              <w:right w:val="single" w:sz="4" w:color="BFBFBF"/>
            </w:tcBorders>
            <w:vAlign w:val="center"/>
          </w:tcPr>
          <w:p>
            <w:r>
              <w:rPr>
                <w:rFonts w:ascii="Calibri" w:hAnsi="Calibri"/>
                <w:sz w:val="20"/>
              </w:rPr>
              <w:t>Mensuelle Y1, trimestrielle Y2-Y5</w:t>
            </w:r>
          </w:p>
        </w:tc>
      </w:tr>
      <w:tr>
        <w:tc>
          <w:tcPr>
            <w:tcW w:type="dxa" w:w="2268"/>
            <w:shd w:val="clear" w:color="auto" w:fill="F2F2F2"/>
            <w:tcBorders>
              <w:top w:val="single" w:sz="4" w:color="BFBFBF"/>
              <w:left w:val="single" w:sz="4" w:color="BFBFBF"/>
              <w:bottom w:val="single" w:sz="4" w:color="BFBFBF"/>
              <w:right w:val="single" w:sz="4" w:color="BFBFBF"/>
            </w:tcBorders>
            <w:vAlign w:val="center"/>
          </w:tcPr>
          <w:p>
            <w:r>
              <w:rPr>
                <w:rFonts w:ascii="Calibri" w:hAnsi="Calibri"/>
                <w:sz w:val="20"/>
              </w:rPr>
              <w:t>Intermédiaire (ETI)</w:t>
            </w:r>
          </w:p>
        </w:tc>
        <w:tc>
          <w:tcPr>
            <w:tcW w:type="dxa" w:w="1701"/>
            <w:shd w:val="clear" w:color="auto" w:fill="F2F2F2"/>
            <w:tcBorders>
              <w:top w:val="single" w:sz="4" w:color="BFBFBF"/>
              <w:left w:val="single" w:sz="4" w:color="BFBFBF"/>
              <w:bottom w:val="single" w:sz="4" w:color="BFBFBF"/>
              <w:right w:val="single" w:sz="4" w:color="BFBFBF"/>
            </w:tcBorders>
            <w:vAlign w:val="center"/>
          </w:tcPr>
          <w:p>
            <w:r>
              <w:rPr>
                <w:rFonts w:ascii="Calibri" w:hAnsi="Calibri"/>
                <w:sz w:val="20"/>
              </w:rPr>
              <w:t>201 à 1000</w:t>
            </w:r>
          </w:p>
        </w:tc>
        <w:tc>
          <w:tcPr>
            <w:tcW w:type="dxa" w:w="2268"/>
            <w:shd w:val="clear" w:color="auto" w:fill="F2F2F2"/>
            <w:tcBorders>
              <w:top w:val="single" w:sz="4" w:color="BFBFBF"/>
              <w:left w:val="single" w:sz="4" w:color="BFBFBF"/>
              <w:bottom w:val="single" w:sz="4" w:color="BFBFBF"/>
              <w:right w:val="single" w:sz="4" w:color="BFBFBF"/>
            </w:tcBorders>
            <w:vAlign w:val="center"/>
          </w:tcPr>
          <w:p>
            <w:r>
              <w:rPr>
                <w:rFonts w:ascii="Calibri" w:hAnsi="Calibri"/>
                <w:sz w:val="20"/>
              </w:rPr>
              <w:t>30 à 200 Md FCFA</w:t>
            </w:r>
          </w:p>
        </w:tc>
        <w:tc>
          <w:tcPr>
            <w:tcW w:type="dxa" w:w="3402"/>
            <w:shd w:val="clear" w:color="auto" w:fill="F2F2F2"/>
            <w:tcBorders>
              <w:top w:val="single" w:sz="4" w:color="BFBFBF"/>
              <w:left w:val="single" w:sz="4" w:color="BFBFBF"/>
              <w:bottom w:val="single" w:sz="4" w:color="BFBFBF"/>
              <w:right w:val="single" w:sz="4" w:color="BFBFBF"/>
            </w:tcBorders>
            <w:vAlign w:val="center"/>
          </w:tcPr>
          <w:p>
            <w:r>
              <w:rPr>
                <w:rFonts w:ascii="Calibri" w:hAnsi="Calibri"/>
                <w:sz w:val="20"/>
              </w:rPr>
              <w:t>Mensuelle Y1-Y2, annuelle après</w:t>
            </w:r>
          </w:p>
        </w:tc>
      </w:tr>
      <w:tr>
        <w:tc>
          <w:tcPr>
            <w:tcW w:type="dxa" w:w="2268"/>
            <w:tcBorders>
              <w:top w:val="single" w:sz="4" w:color="BFBFBF"/>
              <w:left w:val="single" w:sz="4" w:color="BFBFBF"/>
              <w:bottom w:val="single" w:sz="4" w:color="BFBFBF"/>
              <w:right w:val="single" w:sz="4" w:color="BFBFBF"/>
            </w:tcBorders>
            <w:vAlign w:val="center"/>
          </w:tcPr>
          <w:p>
            <w:r>
              <w:rPr>
                <w:rFonts w:ascii="Calibri" w:hAnsi="Calibri"/>
                <w:sz w:val="20"/>
              </w:rPr>
              <w:t>Grande entreprise</w:t>
            </w:r>
          </w:p>
        </w:tc>
        <w:tc>
          <w:tcPr>
            <w:tcW w:type="dxa" w:w="1701"/>
            <w:tcBorders>
              <w:top w:val="single" w:sz="4" w:color="BFBFBF"/>
              <w:left w:val="single" w:sz="4" w:color="BFBFBF"/>
              <w:bottom w:val="single" w:sz="4" w:color="BFBFBF"/>
              <w:right w:val="single" w:sz="4" w:color="BFBFBF"/>
            </w:tcBorders>
            <w:vAlign w:val="center"/>
          </w:tcPr>
          <w:p>
            <w:r>
              <w:rPr>
                <w:rFonts w:ascii="Calibri" w:hAnsi="Calibri"/>
                <w:sz w:val="20"/>
              </w:rPr>
              <w:t>&gt; 1000</w:t>
            </w:r>
          </w:p>
        </w:tc>
        <w:tc>
          <w:tcPr>
            <w:tcW w:type="dxa" w:w="2268"/>
            <w:tcBorders>
              <w:top w:val="single" w:sz="4" w:color="BFBFBF"/>
              <w:left w:val="single" w:sz="4" w:color="BFBFBF"/>
              <w:bottom w:val="single" w:sz="4" w:color="BFBFBF"/>
              <w:right w:val="single" w:sz="4" w:color="BFBFBF"/>
            </w:tcBorders>
            <w:vAlign w:val="center"/>
          </w:tcPr>
          <w:p>
            <w:r>
              <w:rPr>
                <w:rFonts w:ascii="Calibri" w:hAnsi="Calibri"/>
                <w:sz w:val="20"/>
              </w:rPr>
              <w:t>&gt; 200 Md FCFA</w:t>
            </w:r>
          </w:p>
        </w:tc>
        <w:tc>
          <w:tcPr>
            <w:tcW w:type="dxa" w:w="3402"/>
            <w:tcBorders>
              <w:top w:val="single" w:sz="4" w:color="BFBFBF"/>
              <w:left w:val="single" w:sz="4" w:color="BFBFBF"/>
              <w:bottom w:val="single" w:sz="4" w:color="BFBFBF"/>
              <w:right w:val="single" w:sz="4" w:color="BFBFBF"/>
            </w:tcBorders>
            <w:vAlign w:val="center"/>
          </w:tcPr>
          <w:p>
            <w:r>
              <w:rPr>
                <w:rFonts w:ascii="Calibri" w:hAnsi="Calibri"/>
                <w:sz w:val="20"/>
              </w:rPr>
              <w:t>Mensuelle complète, multi-entités</w:t>
            </w:r>
          </w:p>
        </w:tc>
      </w:tr>
    </w:tbl>
    <w:p>
      <w:pPr>
        <w:spacing w:after="120"/>
      </w:pPr>
    </w:p>
    <w:p>
      <w:pPr>
        <w:pStyle w:val="Heading2"/>
        <w:spacing w:before="240" w:after="120"/>
      </w:pPr>
      <w:r>
        <w:rPr>
          <w:rFonts w:ascii="Calibri" w:hAnsi="Calibri"/>
          <w:b/>
          <w:color w:val="0A2540"/>
          <w:sz w:val="30"/>
        </w:rPr>
        <w:t>3.4 Le business model</w:t>
      </w:r>
    </w:p>
    <w:p>
      <w:pPr>
        <w:spacing w:before="0" w:after="120"/>
        <w:jc w:val="both"/>
      </w:pPr>
      <w:r>
        <w:rPr>
          <w:rFonts w:ascii="Calibri" w:hAnsi="Calibri"/>
          <w:b w:val="0"/>
          <w:i w:val="0"/>
          <w:color w:val="000000"/>
          <w:sz w:val="22"/>
        </w:rPr>
        <w:t>Le business model détermine les dynamiques d'acquisition client, de monétisation et de scalabilité. C'est un critère essentiel pour calibrer les KPIs sectoriels.</w:t>
      </w:r>
    </w:p>
    <w:tbl>
      <w:tblPr>
        <w:tblW w:type="auto" w:w="0"/>
        <w:jc w:val="center"/>
        <w:tblLayout w:type="fixed"/>
        <w:tblLook w:firstColumn="1" w:firstRow="1" w:lastColumn="0" w:lastRow="0" w:noHBand="0" w:noVBand="1" w:val="04A0"/>
      </w:tblPr>
      <w:tblGrid>
        <w:gridCol w:w="3135"/>
        <w:gridCol w:w="3135"/>
        <w:gridCol w:w="3135"/>
      </w:tblGrid>
      <w:tr>
        <w:tc>
          <w:tcPr>
            <w:tcW w:type="dxa" w:w="2551"/>
            <w:shd w:val="clear" w:color="auto" w:fill="0A2540"/>
            <w:tcBorders>
              <w:top w:val="single" w:sz="4" w:color="BFBFBF"/>
              <w:left w:val="single" w:sz="4" w:color="BFBFBF"/>
              <w:bottom w:val="single" w:sz="4" w:color="BFBFBF"/>
              <w:right w:val="single" w:sz="4" w:color="BFBFBF"/>
            </w:tcBorders>
            <w:vAlign w:val="center"/>
          </w:tcPr>
          <w:p>
            <w:pPr>
              <w:jc w:val="center"/>
            </w:pPr>
            <w:r>
              <w:rPr>
                <w:rFonts w:ascii="Calibri" w:hAnsi="Calibri"/>
                <w:b/>
                <w:color w:val="FFFFFF"/>
                <w:sz w:val="20"/>
              </w:rPr>
              <w:t>Business model</w:t>
            </w:r>
          </w:p>
        </w:tc>
        <w:tc>
          <w:tcPr>
            <w:tcW w:type="dxa" w:w="3685"/>
            <w:shd w:val="clear" w:color="auto" w:fill="0A2540"/>
            <w:tcBorders>
              <w:top w:val="single" w:sz="4" w:color="BFBFBF"/>
              <w:left w:val="single" w:sz="4" w:color="BFBFBF"/>
              <w:bottom w:val="single" w:sz="4" w:color="BFBFBF"/>
              <w:right w:val="single" w:sz="4" w:color="BFBFBF"/>
            </w:tcBorders>
            <w:vAlign w:val="center"/>
          </w:tcPr>
          <w:p>
            <w:pPr>
              <w:jc w:val="center"/>
            </w:pPr>
            <w:r>
              <w:rPr>
                <w:rFonts w:ascii="Calibri" w:hAnsi="Calibri"/>
                <w:b/>
                <w:color w:val="FFFFFF"/>
                <w:sz w:val="20"/>
              </w:rPr>
              <w:t>Caractéristiques économiques</w:t>
            </w:r>
          </w:p>
        </w:tc>
        <w:tc>
          <w:tcPr>
            <w:tcW w:type="dxa" w:w="3402"/>
            <w:shd w:val="clear" w:color="auto" w:fill="0A2540"/>
            <w:tcBorders>
              <w:top w:val="single" w:sz="4" w:color="BFBFBF"/>
              <w:left w:val="single" w:sz="4" w:color="BFBFBF"/>
              <w:bottom w:val="single" w:sz="4" w:color="BFBFBF"/>
              <w:right w:val="single" w:sz="4" w:color="BFBFBF"/>
            </w:tcBorders>
            <w:vAlign w:val="center"/>
          </w:tcPr>
          <w:p>
            <w:pPr>
              <w:jc w:val="center"/>
            </w:pPr>
            <w:r>
              <w:rPr>
                <w:rFonts w:ascii="Calibri" w:hAnsi="Calibri"/>
                <w:b/>
                <w:color w:val="FFFFFF"/>
                <w:sz w:val="20"/>
              </w:rPr>
              <w:t>KPIs critiques</w:t>
            </w:r>
          </w:p>
        </w:tc>
      </w:tr>
      <w:tr>
        <w:tc>
          <w:tcPr>
            <w:tcW w:type="dxa" w:w="2551"/>
            <w:tcBorders>
              <w:top w:val="single" w:sz="4" w:color="BFBFBF"/>
              <w:left w:val="single" w:sz="4" w:color="BFBFBF"/>
              <w:bottom w:val="single" w:sz="4" w:color="BFBFBF"/>
              <w:right w:val="single" w:sz="4" w:color="BFBFBF"/>
            </w:tcBorders>
            <w:vAlign w:val="center"/>
          </w:tcPr>
          <w:p>
            <w:r>
              <w:rPr>
                <w:rFonts w:ascii="Calibri" w:hAnsi="Calibri"/>
                <w:sz w:val="20"/>
              </w:rPr>
              <w:t>B2B projets</w:t>
            </w:r>
          </w:p>
        </w:tc>
        <w:tc>
          <w:tcPr>
            <w:tcW w:type="dxa" w:w="3685"/>
            <w:tcBorders>
              <w:top w:val="single" w:sz="4" w:color="BFBFBF"/>
              <w:left w:val="single" w:sz="4" w:color="BFBFBF"/>
              <w:bottom w:val="single" w:sz="4" w:color="BFBFBF"/>
              <w:right w:val="single" w:sz="4" w:color="BFBFBF"/>
            </w:tcBorders>
            <w:vAlign w:val="center"/>
          </w:tcPr>
          <w:p>
            <w:r>
              <w:rPr>
                <w:rFonts w:ascii="Calibri" w:hAnsi="Calibri"/>
                <w:sz w:val="20"/>
              </w:rPr>
              <w:t>Cycles longs, gros tickets, ROI client</w:t>
            </w:r>
          </w:p>
        </w:tc>
        <w:tc>
          <w:tcPr>
            <w:tcW w:type="dxa" w:w="3402"/>
            <w:tcBorders>
              <w:top w:val="single" w:sz="4" w:color="BFBFBF"/>
              <w:left w:val="single" w:sz="4" w:color="BFBFBF"/>
              <w:bottom w:val="single" w:sz="4" w:color="BFBFBF"/>
              <w:right w:val="single" w:sz="4" w:color="BFBFBF"/>
            </w:tcBorders>
            <w:vAlign w:val="center"/>
          </w:tcPr>
          <w:p>
            <w:r>
              <w:rPr>
                <w:rFonts w:ascii="Calibri" w:hAnsi="Calibri"/>
                <w:sz w:val="20"/>
              </w:rPr>
              <w:t>Backlog, hit-rate, marge chantier</w:t>
            </w:r>
          </w:p>
        </w:tc>
      </w:tr>
      <w:tr>
        <w:tc>
          <w:tcPr>
            <w:tcW w:type="dxa" w:w="2551"/>
            <w:shd w:val="clear" w:color="auto" w:fill="F2F2F2"/>
            <w:tcBorders>
              <w:top w:val="single" w:sz="4" w:color="BFBFBF"/>
              <w:left w:val="single" w:sz="4" w:color="BFBFBF"/>
              <w:bottom w:val="single" w:sz="4" w:color="BFBFBF"/>
              <w:right w:val="single" w:sz="4" w:color="BFBFBF"/>
            </w:tcBorders>
            <w:vAlign w:val="center"/>
          </w:tcPr>
          <w:p>
            <w:r>
              <w:rPr>
                <w:rFonts w:ascii="Calibri" w:hAnsi="Calibri"/>
                <w:sz w:val="20"/>
              </w:rPr>
              <w:t>B2B récurrent</w:t>
            </w:r>
          </w:p>
        </w:tc>
        <w:tc>
          <w:tcPr>
            <w:tcW w:type="dxa" w:w="3685"/>
            <w:shd w:val="clear" w:color="auto" w:fill="F2F2F2"/>
            <w:tcBorders>
              <w:top w:val="single" w:sz="4" w:color="BFBFBF"/>
              <w:left w:val="single" w:sz="4" w:color="BFBFBF"/>
              <w:bottom w:val="single" w:sz="4" w:color="BFBFBF"/>
              <w:right w:val="single" w:sz="4" w:color="BFBFBF"/>
            </w:tcBorders>
            <w:vAlign w:val="center"/>
          </w:tcPr>
          <w:p>
            <w:r>
              <w:rPr>
                <w:rFonts w:ascii="Calibri" w:hAnsi="Calibri"/>
                <w:sz w:val="20"/>
              </w:rPr>
              <w:t>ARR, retention, expansion</w:t>
            </w:r>
          </w:p>
        </w:tc>
        <w:tc>
          <w:tcPr>
            <w:tcW w:type="dxa" w:w="3402"/>
            <w:shd w:val="clear" w:color="auto" w:fill="F2F2F2"/>
            <w:tcBorders>
              <w:top w:val="single" w:sz="4" w:color="BFBFBF"/>
              <w:left w:val="single" w:sz="4" w:color="BFBFBF"/>
              <w:bottom w:val="single" w:sz="4" w:color="BFBFBF"/>
              <w:right w:val="single" w:sz="4" w:color="BFBFBF"/>
            </w:tcBorders>
            <w:vAlign w:val="center"/>
          </w:tcPr>
          <w:p>
            <w:r>
              <w:rPr>
                <w:rFonts w:ascii="Calibri" w:hAnsi="Calibri"/>
                <w:sz w:val="20"/>
              </w:rPr>
              <w:t>ARR, NRR, CAC, LTV</w:t>
            </w:r>
          </w:p>
        </w:tc>
      </w:tr>
      <w:tr>
        <w:tc>
          <w:tcPr>
            <w:tcW w:type="dxa" w:w="2551"/>
            <w:tcBorders>
              <w:top w:val="single" w:sz="4" w:color="BFBFBF"/>
              <w:left w:val="single" w:sz="4" w:color="BFBFBF"/>
              <w:bottom w:val="single" w:sz="4" w:color="BFBFBF"/>
              <w:right w:val="single" w:sz="4" w:color="BFBFBF"/>
            </w:tcBorders>
            <w:vAlign w:val="center"/>
          </w:tcPr>
          <w:p>
            <w:r>
              <w:rPr>
                <w:rFonts w:ascii="Calibri" w:hAnsi="Calibri"/>
                <w:sz w:val="20"/>
              </w:rPr>
              <w:t>B2C transactionnel</w:t>
            </w:r>
          </w:p>
        </w:tc>
        <w:tc>
          <w:tcPr>
            <w:tcW w:type="dxa" w:w="3685"/>
            <w:tcBorders>
              <w:top w:val="single" w:sz="4" w:color="BFBFBF"/>
              <w:left w:val="single" w:sz="4" w:color="BFBFBF"/>
              <w:bottom w:val="single" w:sz="4" w:color="BFBFBF"/>
              <w:right w:val="single" w:sz="4" w:color="BFBFBF"/>
            </w:tcBorders>
            <w:vAlign w:val="center"/>
          </w:tcPr>
          <w:p>
            <w:r>
              <w:rPr>
                <w:rFonts w:ascii="Calibri" w:hAnsi="Calibri"/>
                <w:sz w:val="20"/>
              </w:rPr>
              <w:t>Volume, panier moyen, fréquence</w:t>
            </w:r>
          </w:p>
        </w:tc>
        <w:tc>
          <w:tcPr>
            <w:tcW w:type="dxa" w:w="3402"/>
            <w:tcBorders>
              <w:top w:val="single" w:sz="4" w:color="BFBFBF"/>
              <w:left w:val="single" w:sz="4" w:color="BFBFBF"/>
              <w:bottom w:val="single" w:sz="4" w:color="BFBFBF"/>
              <w:right w:val="single" w:sz="4" w:color="BFBFBF"/>
            </w:tcBorders>
            <w:vAlign w:val="center"/>
          </w:tcPr>
          <w:p>
            <w:r>
              <w:rPr>
                <w:rFonts w:ascii="Calibri" w:hAnsi="Calibri"/>
                <w:sz w:val="20"/>
              </w:rPr>
              <w:t>AOV, CAC, LTV, churn</w:t>
            </w:r>
          </w:p>
        </w:tc>
      </w:tr>
      <w:tr>
        <w:tc>
          <w:tcPr>
            <w:tcW w:type="dxa" w:w="2551"/>
            <w:shd w:val="clear" w:color="auto" w:fill="F2F2F2"/>
            <w:tcBorders>
              <w:top w:val="single" w:sz="4" w:color="BFBFBF"/>
              <w:left w:val="single" w:sz="4" w:color="BFBFBF"/>
              <w:bottom w:val="single" w:sz="4" w:color="BFBFBF"/>
              <w:right w:val="single" w:sz="4" w:color="BFBFBF"/>
            </w:tcBorders>
            <w:vAlign w:val="center"/>
          </w:tcPr>
          <w:p>
            <w:r>
              <w:rPr>
                <w:rFonts w:ascii="Calibri" w:hAnsi="Calibri"/>
                <w:sz w:val="20"/>
              </w:rPr>
              <w:t>B2C abonnement</w:t>
            </w:r>
          </w:p>
        </w:tc>
        <w:tc>
          <w:tcPr>
            <w:tcW w:type="dxa" w:w="3685"/>
            <w:shd w:val="clear" w:color="auto" w:fill="F2F2F2"/>
            <w:tcBorders>
              <w:top w:val="single" w:sz="4" w:color="BFBFBF"/>
              <w:left w:val="single" w:sz="4" w:color="BFBFBF"/>
              <w:bottom w:val="single" w:sz="4" w:color="BFBFBF"/>
              <w:right w:val="single" w:sz="4" w:color="BFBFBF"/>
            </w:tcBorders>
            <w:vAlign w:val="center"/>
          </w:tcPr>
          <w:p>
            <w:r>
              <w:rPr>
                <w:rFonts w:ascii="Calibri" w:hAnsi="Calibri"/>
                <w:sz w:val="20"/>
              </w:rPr>
              <w:t>Acquisition + rétention</w:t>
            </w:r>
          </w:p>
        </w:tc>
        <w:tc>
          <w:tcPr>
            <w:tcW w:type="dxa" w:w="3402"/>
            <w:shd w:val="clear" w:color="auto" w:fill="F2F2F2"/>
            <w:tcBorders>
              <w:top w:val="single" w:sz="4" w:color="BFBFBF"/>
              <w:left w:val="single" w:sz="4" w:color="BFBFBF"/>
              <w:bottom w:val="single" w:sz="4" w:color="BFBFBF"/>
              <w:right w:val="single" w:sz="4" w:color="BFBFBF"/>
            </w:tcBorders>
            <w:vAlign w:val="center"/>
          </w:tcPr>
          <w:p>
            <w:r>
              <w:rPr>
                <w:rFonts w:ascii="Calibri" w:hAnsi="Calibri"/>
                <w:sz w:val="20"/>
              </w:rPr>
              <w:t>MRR, ARPU, churn, LTV</w:t>
            </w:r>
          </w:p>
        </w:tc>
      </w:tr>
      <w:tr>
        <w:tc>
          <w:tcPr>
            <w:tcW w:type="dxa" w:w="2551"/>
            <w:tcBorders>
              <w:top w:val="single" w:sz="4" w:color="BFBFBF"/>
              <w:left w:val="single" w:sz="4" w:color="BFBFBF"/>
              <w:bottom w:val="single" w:sz="4" w:color="BFBFBF"/>
              <w:right w:val="single" w:sz="4" w:color="BFBFBF"/>
            </w:tcBorders>
            <w:vAlign w:val="center"/>
          </w:tcPr>
          <w:p>
            <w:r>
              <w:rPr>
                <w:rFonts w:ascii="Calibri" w:hAnsi="Calibri"/>
                <w:sz w:val="20"/>
              </w:rPr>
              <w:t>Marketplace</w:t>
            </w:r>
          </w:p>
        </w:tc>
        <w:tc>
          <w:tcPr>
            <w:tcW w:type="dxa" w:w="3685"/>
            <w:tcBorders>
              <w:top w:val="single" w:sz="4" w:color="BFBFBF"/>
              <w:left w:val="single" w:sz="4" w:color="BFBFBF"/>
              <w:bottom w:val="single" w:sz="4" w:color="BFBFBF"/>
              <w:right w:val="single" w:sz="4" w:color="BFBFBF"/>
            </w:tcBorders>
            <w:vAlign w:val="center"/>
          </w:tcPr>
          <w:p>
            <w:r>
              <w:rPr>
                <w:rFonts w:ascii="Calibri" w:hAnsi="Calibri"/>
                <w:sz w:val="20"/>
              </w:rPr>
              <w:t>Take rate sur GMV</w:t>
            </w:r>
          </w:p>
        </w:tc>
        <w:tc>
          <w:tcPr>
            <w:tcW w:type="dxa" w:w="3402"/>
            <w:tcBorders>
              <w:top w:val="single" w:sz="4" w:color="BFBFBF"/>
              <w:left w:val="single" w:sz="4" w:color="BFBFBF"/>
              <w:bottom w:val="single" w:sz="4" w:color="BFBFBF"/>
              <w:right w:val="single" w:sz="4" w:color="BFBFBF"/>
            </w:tcBorders>
            <w:vAlign w:val="center"/>
          </w:tcPr>
          <w:p>
            <w:r>
              <w:rPr>
                <w:rFonts w:ascii="Calibri" w:hAnsi="Calibri"/>
                <w:sz w:val="20"/>
              </w:rPr>
              <w:t>GMV, take rate, frequency</w:t>
            </w:r>
          </w:p>
        </w:tc>
      </w:tr>
      <w:tr>
        <w:tc>
          <w:tcPr>
            <w:tcW w:type="dxa" w:w="2551"/>
            <w:shd w:val="clear" w:color="auto" w:fill="F2F2F2"/>
            <w:tcBorders>
              <w:top w:val="single" w:sz="4" w:color="BFBFBF"/>
              <w:left w:val="single" w:sz="4" w:color="BFBFBF"/>
              <w:bottom w:val="single" w:sz="4" w:color="BFBFBF"/>
              <w:right w:val="single" w:sz="4" w:color="BFBFBF"/>
            </w:tcBorders>
            <w:vAlign w:val="center"/>
          </w:tcPr>
          <w:p>
            <w:r>
              <w:rPr>
                <w:rFonts w:ascii="Calibri" w:hAnsi="Calibri"/>
                <w:sz w:val="20"/>
              </w:rPr>
              <w:t>Plateforme (multi-side)</w:t>
            </w:r>
          </w:p>
        </w:tc>
        <w:tc>
          <w:tcPr>
            <w:tcW w:type="dxa" w:w="3685"/>
            <w:shd w:val="clear" w:color="auto" w:fill="F2F2F2"/>
            <w:tcBorders>
              <w:top w:val="single" w:sz="4" w:color="BFBFBF"/>
              <w:left w:val="single" w:sz="4" w:color="BFBFBF"/>
              <w:bottom w:val="single" w:sz="4" w:color="BFBFBF"/>
              <w:right w:val="single" w:sz="4" w:color="BFBFBF"/>
            </w:tcBorders>
            <w:vAlign w:val="center"/>
          </w:tcPr>
          <w:p>
            <w:r>
              <w:rPr>
                <w:rFonts w:ascii="Calibri" w:hAnsi="Calibri"/>
                <w:sz w:val="20"/>
              </w:rPr>
              <w:t>Effets de réseau</w:t>
            </w:r>
          </w:p>
        </w:tc>
        <w:tc>
          <w:tcPr>
            <w:tcW w:type="dxa" w:w="3402"/>
            <w:shd w:val="clear" w:color="auto" w:fill="F2F2F2"/>
            <w:tcBorders>
              <w:top w:val="single" w:sz="4" w:color="BFBFBF"/>
              <w:left w:val="single" w:sz="4" w:color="BFBFBF"/>
              <w:bottom w:val="single" w:sz="4" w:color="BFBFBF"/>
              <w:right w:val="single" w:sz="4" w:color="BFBFBF"/>
            </w:tcBorders>
            <w:vAlign w:val="center"/>
          </w:tcPr>
          <w:p>
            <w:r>
              <w:rPr>
                <w:rFonts w:ascii="Calibri" w:hAnsi="Calibri"/>
                <w:sz w:val="20"/>
              </w:rPr>
              <w:t>Cross-side, time-to-monetize</w:t>
            </w:r>
          </w:p>
        </w:tc>
      </w:tr>
      <w:tr>
        <w:tc>
          <w:tcPr>
            <w:tcW w:type="dxa" w:w="2551"/>
            <w:tcBorders>
              <w:top w:val="single" w:sz="4" w:color="BFBFBF"/>
              <w:left w:val="single" w:sz="4" w:color="BFBFBF"/>
              <w:bottom w:val="single" w:sz="4" w:color="BFBFBF"/>
              <w:right w:val="single" w:sz="4" w:color="BFBFBF"/>
            </w:tcBorders>
            <w:vAlign w:val="center"/>
          </w:tcPr>
          <w:p>
            <w:r>
              <w:rPr>
                <w:rFonts w:ascii="Calibri" w:hAnsi="Calibri"/>
                <w:sz w:val="20"/>
              </w:rPr>
              <w:t>Bancaire dépôt-crédit</w:t>
            </w:r>
          </w:p>
        </w:tc>
        <w:tc>
          <w:tcPr>
            <w:tcW w:type="dxa" w:w="3685"/>
            <w:tcBorders>
              <w:top w:val="single" w:sz="4" w:color="BFBFBF"/>
              <w:left w:val="single" w:sz="4" w:color="BFBFBF"/>
              <w:bottom w:val="single" w:sz="4" w:color="BFBFBF"/>
              <w:right w:val="single" w:sz="4" w:color="BFBFBF"/>
            </w:tcBorders>
            <w:vAlign w:val="center"/>
          </w:tcPr>
          <w:p>
            <w:r>
              <w:rPr>
                <w:rFonts w:ascii="Calibri" w:hAnsi="Calibri"/>
                <w:sz w:val="20"/>
              </w:rPr>
              <w:t>NIM, ratio prudentiel</w:t>
            </w:r>
          </w:p>
        </w:tc>
        <w:tc>
          <w:tcPr>
            <w:tcW w:type="dxa" w:w="3402"/>
            <w:tcBorders>
              <w:top w:val="single" w:sz="4" w:color="BFBFBF"/>
              <w:left w:val="single" w:sz="4" w:color="BFBFBF"/>
              <w:bottom w:val="single" w:sz="4" w:color="BFBFBF"/>
              <w:right w:val="single" w:sz="4" w:color="BFBFBF"/>
            </w:tcBorders>
            <w:vAlign w:val="center"/>
          </w:tcPr>
          <w:p>
            <w:r>
              <w:rPr>
                <w:rFonts w:ascii="Calibri" w:hAnsi="Calibri"/>
                <w:sz w:val="20"/>
              </w:rPr>
              <w:t>NIM, ROE, coût risque, CET1</w:t>
            </w:r>
          </w:p>
        </w:tc>
      </w:tr>
      <w:tr>
        <w:tc>
          <w:tcPr>
            <w:tcW w:type="dxa" w:w="2551"/>
            <w:shd w:val="clear" w:color="auto" w:fill="F2F2F2"/>
            <w:tcBorders>
              <w:top w:val="single" w:sz="4" w:color="BFBFBF"/>
              <w:left w:val="single" w:sz="4" w:color="BFBFBF"/>
              <w:bottom w:val="single" w:sz="4" w:color="BFBFBF"/>
              <w:right w:val="single" w:sz="4" w:color="BFBFBF"/>
            </w:tcBorders>
            <w:vAlign w:val="center"/>
          </w:tcPr>
          <w:p>
            <w:r>
              <w:rPr>
                <w:rFonts w:ascii="Calibri" w:hAnsi="Calibri"/>
                <w:sz w:val="20"/>
              </w:rPr>
              <w:t>Assurance</w:t>
            </w:r>
          </w:p>
        </w:tc>
        <w:tc>
          <w:tcPr>
            <w:tcW w:type="dxa" w:w="3685"/>
            <w:shd w:val="clear" w:color="auto" w:fill="F2F2F2"/>
            <w:tcBorders>
              <w:top w:val="single" w:sz="4" w:color="BFBFBF"/>
              <w:left w:val="single" w:sz="4" w:color="BFBFBF"/>
              <w:bottom w:val="single" w:sz="4" w:color="BFBFBF"/>
              <w:right w:val="single" w:sz="4" w:color="BFBFBF"/>
            </w:tcBorders>
            <w:vAlign w:val="center"/>
          </w:tcPr>
          <w:p>
            <w:r>
              <w:rPr>
                <w:rFonts w:ascii="Calibri" w:hAnsi="Calibri"/>
                <w:sz w:val="20"/>
              </w:rPr>
              <w:t>Ratio combiné, marge solvabilité</w:t>
            </w:r>
          </w:p>
        </w:tc>
        <w:tc>
          <w:tcPr>
            <w:tcW w:type="dxa" w:w="3402"/>
            <w:shd w:val="clear" w:color="auto" w:fill="F2F2F2"/>
            <w:tcBorders>
              <w:top w:val="single" w:sz="4" w:color="BFBFBF"/>
              <w:left w:val="single" w:sz="4" w:color="BFBFBF"/>
              <w:bottom w:val="single" w:sz="4" w:color="BFBFBF"/>
              <w:right w:val="single" w:sz="4" w:color="BFBFBF"/>
            </w:tcBorders>
            <w:vAlign w:val="center"/>
          </w:tcPr>
          <w:p>
            <w:r>
              <w:rPr>
                <w:rFonts w:ascii="Calibri" w:hAnsi="Calibri"/>
                <w:sz w:val="20"/>
              </w:rPr>
              <w:t>Loss ratio, expense ratio, marge</w:t>
            </w:r>
          </w:p>
        </w:tc>
      </w:tr>
      <w:tr>
        <w:tc>
          <w:tcPr>
            <w:tcW w:type="dxa" w:w="2551"/>
            <w:tcBorders>
              <w:top w:val="single" w:sz="4" w:color="BFBFBF"/>
              <w:left w:val="single" w:sz="4" w:color="BFBFBF"/>
              <w:bottom w:val="single" w:sz="4" w:color="BFBFBF"/>
              <w:right w:val="single" w:sz="4" w:color="BFBFBF"/>
            </w:tcBorders>
            <w:vAlign w:val="center"/>
          </w:tcPr>
          <w:p>
            <w:r>
              <w:rPr>
                <w:rFonts w:ascii="Calibri" w:hAnsi="Calibri"/>
                <w:sz w:val="20"/>
              </w:rPr>
              <w:t>ONG bailleurs</w:t>
            </w:r>
          </w:p>
        </w:tc>
        <w:tc>
          <w:tcPr>
            <w:tcW w:type="dxa" w:w="3685"/>
            <w:tcBorders>
              <w:top w:val="single" w:sz="4" w:color="BFBFBF"/>
              <w:left w:val="single" w:sz="4" w:color="BFBFBF"/>
              <w:bottom w:val="single" w:sz="4" w:color="BFBFBF"/>
              <w:right w:val="single" w:sz="4" w:color="BFBFBF"/>
            </w:tcBorders>
            <w:vAlign w:val="center"/>
          </w:tcPr>
          <w:p>
            <w:r>
              <w:rPr>
                <w:rFonts w:ascii="Calibri" w:hAnsi="Calibri"/>
                <w:sz w:val="20"/>
              </w:rPr>
              <w:t>Cycle projet, restricted/unrestricted</w:t>
            </w:r>
          </w:p>
        </w:tc>
        <w:tc>
          <w:tcPr>
            <w:tcW w:type="dxa" w:w="3402"/>
            <w:tcBorders>
              <w:top w:val="single" w:sz="4" w:color="BFBFBF"/>
              <w:left w:val="single" w:sz="4" w:color="BFBFBF"/>
              <w:bottom w:val="single" w:sz="4" w:color="BFBFBF"/>
              <w:right w:val="single" w:sz="4" w:color="BFBFBF"/>
            </w:tcBorders>
            <w:vAlign w:val="center"/>
          </w:tcPr>
          <w:p>
            <w:r>
              <w:rPr>
                <w:rFonts w:ascii="Calibri" w:hAnsi="Calibri"/>
                <w:sz w:val="20"/>
              </w:rPr>
              <w:t>Taux exécution, overhead ratio</w:t>
            </w:r>
          </w:p>
        </w:tc>
      </w:tr>
    </w:tbl>
    <w:p>
      <w:pPr>
        <w:spacing w:after="120"/>
      </w:pPr>
    </w:p>
    <w:p>
      <w:pPr>
        <w:pStyle w:val="Heading2"/>
        <w:spacing w:before="240" w:after="120"/>
      </w:pPr>
      <w:r>
        <w:rPr>
          <w:rFonts w:ascii="Calibri" w:hAnsi="Calibri"/>
          <w:b/>
          <w:color w:val="0A2540"/>
          <w:sz w:val="30"/>
        </w:rPr>
        <w:t>3.5 La géographie et la zone monétaire</w:t>
      </w:r>
    </w:p>
    <w:p>
      <w:pPr>
        <w:spacing w:before="0" w:after="120"/>
        <w:jc w:val="both"/>
      </w:pPr>
      <w:r>
        <w:rPr>
          <w:rFonts w:ascii="Calibri" w:hAnsi="Calibri"/>
          <w:b w:val="0"/>
          <w:i w:val="0"/>
          <w:color w:val="000000"/>
          <w:sz w:val="22"/>
        </w:rPr>
        <w:t>La géographie détermine la devise, les normes applicables, la fiscalité, le coût du capital et le risque pays. L'outil distingue cinq zones principales :</w:t>
      </w:r>
    </w:p>
    <w:p>
      <w:pPr>
        <w:pStyle w:val="ListBullet"/>
        <w:spacing w:after="60"/>
        <w:ind w:left="340"/>
      </w:pPr>
      <w:r>
        <w:rPr>
          <w:rFonts w:ascii="Calibri" w:hAnsi="Calibri"/>
          <w:sz w:val="22"/>
        </w:rPr>
        <w:t>Zone UEMOA (8 pays — Bénin, Burkina Faso, Côte d'Ivoire, Guinée-Bissau, Mali, Niger, Sénégal, Togo) : FCFA XOF, BCEAO, SYSCOHADA, CIMA, OHADA</w:t>
      </w:r>
    </w:p>
    <w:p>
      <w:pPr>
        <w:pStyle w:val="ListBullet"/>
        <w:spacing w:after="60"/>
        <w:ind w:left="340"/>
      </w:pPr>
      <w:r>
        <w:rPr>
          <w:rFonts w:ascii="Calibri" w:hAnsi="Calibri"/>
          <w:sz w:val="22"/>
        </w:rPr>
        <w:t>Zone CEMAC (6 pays — Cameroun, Centrafrique, Congo, Gabon, Guinée Équatoriale, Tchad) : FCFA XAF, BEAC, SYSCOHADA, CIMA, OHADA</w:t>
      </w:r>
    </w:p>
    <w:p>
      <w:pPr>
        <w:pStyle w:val="ListBullet"/>
        <w:spacing w:after="60"/>
        <w:ind w:left="340"/>
      </w:pPr>
      <w:r>
        <w:rPr>
          <w:rFonts w:ascii="Calibri" w:hAnsi="Calibri"/>
          <w:sz w:val="22"/>
        </w:rPr>
        <w:t>Autres pays OHADA non-CFA (Guinée Conakry, Comores) : GNF, KMF, SYSCOHADA</w:t>
      </w:r>
    </w:p>
    <w:p>
      <w:pPr>
        <w:pStyle w:val="ListBullet"/>
        <w:spacing w:after="60"/>
        <w:ind w:left="340"/>
      </w:pPr>
      <w:r>
        <w:rPr>
          <w:rFonts w:ascii="Calibri" w:hAnsi="Calibri"/>
          <w:sz w:val="22"/>
        </w:rPr>
        <w:t>International francophone (Maghreb, France, Belgique, Canada) : Normes IFRS et locales</w:t>
      </w:r>
    </w:p>
    <w:p>
      <w:pPr>
        <w:pStyle w:val="ListBullet"/>
        <w:spacing w:after="60"/>
        <w:ind w:left="340"/>
      </w:pPr>
      <w:r>
        <w:rPr>
          <w:rFonts w:ascii="Calibri" w:hAnsi="Calibri"/>
          <w:sz w:val="22"/>
        </w:rPr>
        <w:t>International (USD) : États-Unis, autres juridictions — IFRS ou US GAAP, monnaie locale</w:t>
      </w:r>
    </w:p>
    <w:p>
      <w:pPr>
        <w:pStyle w:val="Heading2"/>
        <w:spacing w:before="240" w:after="120"/>
      </w:pPr>
      <w:r>
        <w:rPr>
          <w:rFonts w:ascii="Calibri" w:hAnsi="Calibri"/>
          <w:b/>
          <w:color w:val="0A2540"/>
          <w:sz w:val="30"/>
        </w:rPr>
        <w:t>3.6 La structure juridique et fiscale</w:t>
      </w:r>
    </w:p>
    <w:tbl>
      <w:tblPr>
        <w:tblW w:type="auto" w:w="0"/>
        <w:jc w:val="center"/>
        <w:tblLayout w:type="fixed"/>
        <w:tblLook w:firstColumn="1" w:firstRow="1" w:lastColumn="0" w:lastRow="0" w:noHBand="0" w:noVBand="1" w:val="04A0"/>
      </w:tblPr>
      <w:tblGrid>
        <w:gridCol w:w="3135"/>
        <w:gridCol w:w="3135"/>
        <w:gridCol w:w="3135"/>
      </w:tblGrid>
      <w:tr>
        <w:tc>
          <w:tcPr>
            <w:tcW w:type="dxa" w:w="1984"/>
            <w:shd w:val="clear" w:color="auto" w:fill="0A2540"/>
            <w:tcBorders>
              <w:top w:val="single" w:sz="4" w:color="BFBFBF"/>
              <w:left w:val="single" w:sz="4" w:color="BFBFBF"/>
              <w:bottom w:val="single" w:sz="4" w:color="BFBFBF"/>
              <w:right w:val="single" w:sz="4" w:color="BFBFBF"/>
            </w:tcBorders>
            <w:vAlign w:val="center"/>
          </w:tcPr>
          <w:p>
            <w:pPr>
              <w:jc w:val="center"/>
            </w:pPr>
            <w:r>
              <w:rPr>
                <w:rFonts w:ascii="Calibri" w:hAnsi="Calibri"/>
                <w:b/>
                <w:color w:val="FFFFFF"/>
                <w:sz w:val="20"/>
              </w:rPr>
              <w:t>Forme juridique</w:t>
            </w:r>
          </w:p>
        </w:tc>
        <w:tc>
          <w:tcPr>
            <w:tcW w:type="dxa" w:w="2835"/>
            <w:shd w:val="clear" w:color="auto" w:fill="0A2540"/>
            <w:tcBorders>
              <w:top w:val="single" w:sz="4" w:color="BFBFBF"/>
              <w:left w:val="single" w:sz="4" w:color="BFBFBF"/>
              <w:bottom w:val="single" w:sz="4" w:color="BFBFBF"/>
              <w:right w:val="single" w:sz="4" w:color="BFBFBF"/>
            </w:tcBorders>
            <w:vAlign w:val="center"/>
          </w:tcPr>
          <w:p>
            <w:pPr>
              <w:jc w:val="center"/>
            </w:pPr>
            <w:r>
              <w:rPr>
                <w:rFonts w:ascii="Calibri" w:hAnsi="Calibri"/>
                <w:b/>
                <w:color w:val="FFFFFF"/>
                <w:sz w:val="20"/>
              </w:rPr>
              <w:t>Caractéristiques fiscales</w:t>
            </w:r>
          </w:p>
        </w:tc>
        <w:tc>
          <w:tcPr>
            <w:tcW w:type="dxa" w:w="4819"/>
            <w:shd w:val="clear" w:color="auto" w:fill="0A2540"/>
            <w:tcBorders>
              <w:top w:val="single" w:sz="4" w:color="BFBFBF"/>
              <w:left w:val="single" w:sz="4" w:color="BFBFBF"/>
              <w:bottom w:val="single" w:sz="4" w:color="BFBFBF"/>
              <w:right w:val="single" w:sz="4" w:color="BFBFBF"/>
            </w:tcBorders>
            <w:vAlign w:val="center"/>
          </w:tcPr>
          <w:p>
            <w:pPr>
              <w:jc w:val="center"/>
            </w:pPr>
            <w:r>
              <w:rPr>
                <w:rFonts w:ascii="Calibri" w:hAnsi="Calibri"/>
                <w:b/>
                <w:color w:val="FFFFFF"/>
                <w:sz w:val="20"/>
              </w:rPr>
              <w:t>Spécificités modélisation</w:t>
            </w:r>
          </w:p>
        </w:tc>
      </w:tr>
      <w:tr>
        <w:tc>
          <w:tcPr>
            <w:tcW w:type="dxa" w:w="1984"/>
            <w:tcBorders>
              <w:top w:val="single" w:sz="4" w:color="BFBFBF"/>
              <w:left w:val="single" w:sz="4" w:color="BFBFBF"/>
              <w:bottom w:val="single" w:sz="4" w:color="BFBFBF"/>
              <w:right w:val="single" w:sz="4" w:color="BFBFBF"/>
            </w:tcBorders>
            <w:vAlign w:val="center"/>
          </w:tcPr>
          <w:p>
            <w:r>
              <w:rPr>
                <w:rFonts w:ascii="Calibri" w:hAnsi="Calibri"/>
                <w:sz w:val="20"/>
              </w:rPr>
              <w:t>SA OHADA</w:t>
            </w:r>
          </w:p>
        </w:tc>
        <w:tc>
          <w:tcPr>
            <w:tcW w:type="dxa" w:w="2835"/>
            <w:tcBorders>
              <w:top w:val="single" w:sz="4" w:color="BFBFBF"/>
              <w:left w:val="single" w:sz="4" w:color="BFBFBF"/>
              <w:bottom w:val="single" w:sz="4" w:color="BFBFBF"/>
              <w:right w:val="single" w:sz="4" w:color="BFBFBF"/>
            </w:tcBorders>
            <w:vAlign w:val="center"/>
          </w:tcPr>
          <w:p>
            <w:r>
              <w:rPr>
                <w:rFonts w:ascii="Calibri" w:hAnsi="Calibri"/>
                <w:sz w:val="20"/>
              </w:rPr>
              <w:t>IS standard, taxe sur dividendes</w:t>
            </w:r>
          </w:p>
        </w:tc>
        <w:tc>
          <w:tcPr>
            <w:tcW w:type="dxa" w:w="4819"/>
            <w:tcBorders>
              <w:top w:val="single" w:sz="4" w:color="BFBFBF"/>
              <w:left w:val="single" w:sz="4" w:color="BFBFBF"/>
              <w:bottom w:val="single" w:sz="4" w:color="BFBFBF"/>
              <w:right w:val="single" w:sz="4" w:color="BFBFBF"/>
            </w:tcBorders>
            <w:vAlign w:val="center"/>
          </w:tcPr>
          <w:p>
            <w:r>
              <w:rPr>
                <w:rFonts w:ascii="Calibri" w:hAnsi="Calibri"/>
                <w:sz w:val="20"/>
              </w:rPr>
              <w:t>Cap. social ≥ 10 M FCFA, gouvernance complète</w:t>
            </w:r>
          </w:p>
        </w:tc>
      </w:tr>
      <w:tr>
        <w:tc>
          <w:tcPr>
            <w:tcW w:type="dxa" w:w="1984"/>
            <w:shd w:val="clear" w:color="auto" w:fill="F2F2F2"/>
            <w:tcBorders>
              <w:top w:val="single" w:sz="4" w:color="BFBFBF"/>
              <w:left w:val="single" w:sz="4" w:color="BFBFBF"/>
              <w:bottom w:val="single" w:sz="4" w:color="BFBFBF"/>
              <w:right w:val="single" w:sz="4" w:color="BFBFBF"/>
            </w:tcBorders>
            <w:vAlign w:val="center"/>
          </w:tcPr>
          <w:p>
            <w:r>
              <w:rPr>
                <w:rFonts w:ascii="Calibri" w:hAnsi="Calibri"/>
                <w:sz w:val="20"/>
              </w:rPr>
              <w:t>SAS OHADA</w:t>
            </w:r>
          </w:p>
        </w:tc>
        <w:tc>
          <w:tcPr>
            <w:tcW w:type="dxa" w:w="2835"/>
            <w:shd w:val="clear" w:color="auto" w:fill="F2F2F2"/>
            <w:tcBorders>
              <w:top w:val="single" w:sz="4" w:color="BFBFBF"/>
              <w:left w:val="single" w:sz="4" w:color="BFBFBF"/>
              <w:bottom w:val="single" w:sz="4" w:color="BFBFBF"/>
              <w:right w:val="single" w:sz="4" w:color="BFBFBF"/>
            </w:tcBorders>
            <w:vAlign w:val="center"/>
          </w:tcPr>
          <w:p>
            <w:r>
              <w:rPr>
                <w:rFonts w:ascii="Calibri" w:hAnsi="Calibri"/>
                <w:sz w:val="20"/>
              </w:rPr>
              <w:t>IS standard</w:t>
            </w:r>
          </w:p>
        </w:tc>
        <w:tc>
          <w:tcPr>
            <w:tcW w:type="dxa" w:w="4819"/>
            <w:shd w:val="clear" w:color="auto" w:fill="F2F2F2"/>
            <w:tcBorders>
              <w:top w:val="single" w:sz="4" w:color="BFBFBF"/>
              <w:left w:val="single" w:sz="4" w:color="BFBFBF"/>
              <w:bottom w:val="single" w:sz="4" w:color="BFBFBF"/>
              <w:right w:val="single" w:sz="4" w:color="BFBFBF"/>
            </w:tcBorders>
            <w:vAlign w:val="center"/>
          </w:tcPr>
          <w:p>
            <w:r>
              <w:rPr>
                <w:rFonts w:ascii="Calibri" w:hAnsi="Calibri"/>
                <w:sz w:val="20"/>
              </w:rPr>
              <w:t>Flexibilité gouvernance, cap. variable</w:t>
            </w:r>
          </w:p>
        </w:tc>
      </w:tr>
      <w:tr>
        <w:tc>
          <w:tcPr>
            <w:tcW w:type="dxa" w:w="1984"/>
            <w:tcBorders>
              <w:top w:val="single" w:sz="4" w:color="BFBFBF"/>
              <w:left w:val="single" w:sz="4" w:color="BFBFBF"/>
              <w:bottom w:val="single" w:sz="4" w:color="BFBFBF"/>
              <w:right w:val="single" w:sz="4" w:color="BFBFBF"/>
            </w:tcBorders>
            <w:vAlign w:val="center"/>
          </w:tcPr>
          <w:p>
            <w:r>
              <w:rPr>
                <w:rFonts w:ascii="Calibri" w:hAnsi="Calibri"/>
                <w:sz w:val="20"/>
              </w:rPr>
              <w:t>SARL OHADA</w:t>
            </w:r>
          </w:p>
        </w:tc>
        <w:tc>
          <w:tcPr>
            <w:tcW w:type="dxa" w:w="2835"/>
            <w:tcBorders>
              <w:top w:val="single" w:sz="4" w:color="BFBFBF"/>
              <w:left w:val="single" w:sz="4" w:color="BFBFBF"/>
              <w:bottom w:val="single" w:sz="4" w:color="BFBFBF"/>
              <w:right w:val="single" w:sz="4" w:color="BFBFBF"/>
            </w:tcBorders>
            <w:vAlign w:val="center"/>
          </w:tcPr>
          <w:p>
            <w:r>
              <w:rPr>
                <w:rFonts w:ascii="Calibri" w:hAnsi="Calibri"/>
                <w:sz w:val="20"/>
              </w:rPr>
              <w:t>IS standard</w:t>
            </w:r>
          </w:p>
        </w:tc>
        <w:tc>
          <w:tcPr>
            <w:tcW w:type="dxa" w:w="4819"/>
            <w:tcBorders>
              <w:top w:val="single" w:sz="4" w:color="BFBFBF"/>
              <w:left w:val="single" w:sz="4" w:color="BFBFBF"/>
              <w:bottom w:val="single" w:sz="4" w:color="BFBFBF"/>
              <w:right w:val="single" w:sz="4" w:color="BFBFBF"/>
            </w:tcBorders>
            <w:vAlign w:val="center"/>
          </w:tcPr>
          <w:p>
            <w:r>
              <w:rPr>
                <w:rFonts w:ascii="Calibri" w:hAnsi="Calibri"/>
                <w:sz w:val="20"/>
              </w:rPr>
              <w:t>Cap. social ≥ 1 M FCFA</w:t>
            </w:r>
          </w:p>
        </w:tc>
      </w:tr>
      <w:tr>
        <w:tc>
          <w:tcPr>
            <w:tcW w:type="dxa" w:w="1984"/>
            <w:shd w:val="clear" w:color="auto" w:fill="F2F2F2"/>
            <w:tcBorders>
              <w:top w:val="single" w:sz="4" w:color="BFBFBF"/>
              <w:left w:val="single" w:sz="4" w:color="BFBFBF"/>
              <w:bottom w:val="single" w:sz="4" w:color="BFBFBF"/>
              <w:right w:val="single" w:sz="4" w:color="BFBFBF"/>
            </w:tcBorders>
            <w:vAlign w:val="center"/>
          </w:tcPr>
          <w:p>
            <w:r>
              <w:rPr>
                <w:rFonts w:ascii="Calibri" w:hAnsi="Calibri"/>
                <w:sz w:val="20"/>
              </w:rPr>
              <w:t>GIE OHADA</w:t>
            </w:r>
          </w:p>
        </w:tc>
        <w:tc>
          <w:tcPr>
            <w:tcW w:type="dxa" w:w="2835"/>
            <w:shd w:val="clear" w:color="auto" w:fill="F2F2F2"/>
            <w:tcBorders>
              <w:top w:val="single" w:sz="4" w:color="BFBFBF"/>
              <w:left w:val="single" w:sz="4" w:color="BFBFBF"/>
              <w:bottom w:val="single" w:sz="4" w:color="BFBFBF"/>
              <w:right w:val="single" w:sz="4" w:color="BFBFBF"/>
            </w:tcBorders>
            <w:vAlign w:val="center"/>
          </w:tcPr>
          <w:p>
            <w:r>
              <w:rPr>
                <w:rFonts w:ascii="Calibri" w:hAnsi="Calibri"/>
                <w:sz w:val="20"/>
              </w:rPr>
              <w:t>Transparence fiscale partielle</w:t>
            </w:r>
          </w:p>
        </w:tc>
        <w:tc>
          <w:tcPr>
            <w:tcW w:type="dxa" w:w="4819"/>
            <w:shd w:val="clear" w:color="auto" w:fill="F2F2F2"/>
            <w:tcBorders>
              <w:top w:val="single" w:sz="4" w:color="BFBFBF"/>
              <w:left w:val="single" w:sz="4" w:color="BFBFBF"/>
              <w:bottom w:val="single" w:sz="4" w:color="BFBFBF"/>
              <w:right w:val="single" w:sz="4" w:color="BFBFBF"/>
            </w:tcBorders>
            <w:vAlign w:val="center"/>
          </w:tcPr>
          <w:p>
            <w:r>
              <w:rPr>
                <w:rFonts w:ascii="Calibri" w:hAnsi="Calibri"/>
                <w:sz w:val="20"/>
              </w:rPr>
              <w:t>Pas de capital, but lucratif limité</w:t>
            </w:r>
          </w:p>
        </w:tc>
      </w:tr>
      <w:tr>
        <w:tc>
          <w:tcPr>
            <w:tcW w:type="dxa" w:w="1984"/>
            <w:tcBorders>
              <w:top w:val="single" w:sz="4" w:color="BFBFBF"/>
              <w:left w:val="single" w:sz="4" w:color="BFBFBF"/>
              <w:bottom w:val="single" w:sz="4" w:color="BFBFBF"/>
              <w:right w:val="single" w:sz="4" w:color="BFBFBF"/>
            </w:tcBorders>
            <w:vAlign w:val="center"/>
          </w:tcPr>
          <w:p>
            <w:r>
              <w:rPr>
                <w:rFonts w:ascii="Calibri" w:hAnsi="Calibri"/>
                <w:sz w:val="20"/>
              </w:rPr>
              <w:t>Établissement de crédit</w:t>
            </w:r>
          </w:p>
        </w:tc>
        <w:tc>
          <w:tcPr>
            <w:tcW w:type="dxa" w:w="2835"/>
            <w:tcBorders>
              <w:top w:val="single" w:sz="4" w:color="BFBFBF"/>
              <w:left w:val="single" w:sz="4" w:color="BFBFBF"/>
              <w:bottom w:val="single" w:sz="4" w:color="BFBFBF"/>
              <w:right w:val="single" w:sz="4" w:color="BFBFBF"/>
            </w:tcBorders>
            <w:vAlign w:val="center"/>
          </w:tcPr>
          <w:p>
            <w:r>
              <w:rPr>
                <w:rFonts w:ascii="Calibri" w:hAnsi="Calibri"/>
                <w:sz w:val="20"/>
              </w:rPr>
              <w:t>Régime BCEAO, taxe TAF</w:t>
            </w:r>
          </w:p>
        </w:tc>
        <w:tc>
          <w:tcPr>
            <w:tcW w:type="dxa" w:w="4819"/>
            <w:tcBorders>
              <w:top w:val="single" w:sz="4" w:color="BFBFBF"/>
              <w:left w:val="single" w:sz="4" w:color="BFBFBF"/>
              <w:bottom w:val="single" w:sz="4" w:color="BFBFBF"/>
              <w:right w:val="single" w:sz="4" w:color="BFBFBF"/>
            </w:tcBorders>
            <w:vAlign w:val="center"/>
          </w:tcPr>
          <w:p>
            <w:r>
              <w:rPr>
                <w:rFonts w:ascii="Calibri" w:hAnsi="Calibri"/>
                <w:sz w:val="20"/>
              </w:rPr>
              <w:t>Ratio Bâle, capital min réglementaire</w:t>
            </w:r>
          </w:p>
        </w:tc>
      </w:tr>
      <w:tr>
        <w:tc>
          <w:tcPr>
            <w:tcW w:type="dxa" w:w="1984"/>
            <w:shd w:val="clear" w:color="auto" w:fill="F2F2F2"/>
            <w:tcBorders>
              <w:top w:val="single" w:sz="4" w:color="BFBFBF"/>
              <w:left w:val="single" w:sz="4" w:color="BFBFBF"/>
              <w:bottom w:val="single" w:sz="4" w:color="BFBFBF"/>
              <w:right w:val="single" w:sz="4" w:color="BFBFBF"/>
            </w:tcBorders>
            <w:vAlign w:val="center"/>
          </w:tcPr>
          <w:p>
            <w:r>
              <w:rPr>
                <w:rFonts w:ascii="Calibri" w:hAnsi="Calibri"/>
                <w:sz w:val="20"/>
              </w:rPr>
              <w:t>Compagnie d'assurance CIMA</w:t>
            </w:r>
          </w:p>
        </w:tc>
        <w:tc>
          <w:tcPr>
            <w:tcW w:type="dxa" w:w="2835"/>
            <w:shd w:val="clear" w:color="auto" w:fill="F2F2F2"/>
            <w:tcBorders>
              <w:top w:val="single" w:sz="4" w:color="BFBFBF"/>
              <w:left w:val="single" w:sz="4" w:color="BFBFBF"/>
              <w:bottom w:val="single" w:sz="4" w:color="BFBFBF"/>
              <w:right w:val="single" w:sz="4" w:color="BFBFBF"/>
            </w:tcBorders>
            <w:vAlign w:val="center"/>
          </w:tcPr>
          <w:p>
            <w:r>
              <w:rPr>
                <w:rFonts w:ascii="Calibri" w:hAnsi="Calibri"/>
                <w:sz w:val="20"/>
              </w:rPr>
              <w:t>Régime fiscal spécifique</w:t>
            </w:r>
          </w:p>
        </w:tc>
        <w:tc>
          <w:tcPr>
            <w:tcW w:type="dxa" w:w="4819"/>
            <w:shd w:val="clear" w:color="auto" w:fill="F2F2F2"/>
            <w:tcBorders>
              <w:top w:val="single" w:sz="4" w:color="BFBFBF"/>
              <w:left w:val="single" w:sz="4" w:color="BFBFBF"/>
              <w:bottom w:val="single" w:sz="4" w:color="BFBFBF"/>
              <w:right w:val="single" w:sz="4" w:color="BFBFBF"/>
            </w:tcBorders>
            <w:vAlign w:val="center"/>
          </w:tcPr>
          <w:p>
            <w:r>
              <w:rPr>
                <w:rFonts w:ascii="Calibri" w:hAnsi="Calibri"/>
                <w:sz w:val="20"/>
              </w:rPr>
              <w:t>Capital min CIMA, provisions techniques</w:t>
            </w:r>
          </w:p>
        </w:tc>
      </w:tr>
      <w:tr>
        <w:tc>
          <w:tcPr>
            <w:tcW w:type="dxa" w:w="1984"/>
            <w:tcBorders>
              <w:top w:val="single" w:sz="4" w:color="BFBFBF"/>
              <w:left w:val="single" w:sz="4" w:color="BFBFBF"/>
              <w:bottom w:val="single" w:sz="4" w:color="BFBFBF"/>
              <w:right w:val="single" w:sz="4" w:color="BFBFBF"/>
            </w:tcBorders>
            <w:vAlign w:val="center"/>
          </w:tcPr>
          <w:p>
            <w:r>
              <w:rPr>
                <w:rFonts w:ascii="Calibri" w:hAnsi="Calibri"/>
                <w:sz w:val="20"/>
              </w:rPr>
              <w:t>ONG / Association OHADA</w:t>
            </w:r>
          </w:p>
        </w:tc>
        <w:tc>
          <w:tcPr>
            <w:tcW w:type="dxa" w:w="2835"/>
            <w:tcBorders>
              <w:top w:val="single" w:sz="4" w:color="BFBFBF"/>
              <w:left w:val="single" w:sz="4" w:color="BFBFBF"/>
              <w:bottom w:val="single" w:sz="4" w:color="BFBFBF"/>
              <w:right w:val="single" w:sz="4" w:color="BFBFBF"/>
            </w:tcBorders>
            <w:vAlign w:val="center"/>
          </w:tcPr>
          <w:p>
            <w:r>
              <w:rPr>
                <w:rFonts w:ascii="Calibri" w:hAnsi="Calibri"/>
                <w:sz w:val="20"/>
              </w:rPr>
              <w:t>Exonération partielle</w:t>
            </w:r>
          </w:p>
        </w:tc>
        <w:tc>
          <w:tcPr>
            <w:tcW w:type="dxa" w:w="4819"/>
            <w:tcBorders>
              <w:top w:val="single" w:sz="4" w:color="BFBFBF"/>
              <w:left w:val="single" w:sz="4" w:color="BFBFBF"/>
              <w:bottom w:val="single" w:sz="4" w:color="BFBFBF"/>
              <w:right w:val="single" w:sz="4" w:color="BFBFBF"/>
            </w:tcBorders>
            <w:vAlign w:val="center"/>
          </w:tcPr>
          <w:p>
            <w:r>
              <w:rPr>
                <w:rFonts w:ascii="Calibri" w:hAnsi="Calibri"/>
                <w:sz w:val="20"/>
              </w:rPr>
              <w:t>Restricted/unrestricted, traçabilité bailleurs</w:t>
            </w:r>
          </w:p>
        </w:tc>
      </w:tr>
      <w:tr>
        <w:tc>
          <w:tcPr>
            <w:tcW w:type="dxa" w:w="1984"/>
            <w:shd w:val="clear" w:color="auto" w:fill="F2F2F2"/>
            <w:tcBorders>
              <w:top w:val="single" w:sz="4" w:color="BFBFBF"/>
              <w:left w:val="single" w:sz="4" w:color="BFBFBF"/>
              <w:bottom w:val="single" w:sz="4" w:color="BFBFBF"/>
              <w:right w:val="single" w:sz="4" w:color="BFBFBF"/>
            </w:tcBorders>
            <w:vAlign w:val="center"/>
          </w:tcPr>
          <w:p>
            <w:r>
              <w:rPr>
                <w:rFonts w:ascii="Calibri" w:hAnsi="Calibri"/>
                <w:sz w:val="20"/>
              </w:rPr>
              <w:t>Inc. (Delaware) / LLC US</w:t>
            </w:r>
          </w:p>
        </w:tc>
        <w:tc>
          <w:tcPr>
            <w:tcW w:type="dxa" w:w="2835"/>
            <w:shd w:val="clear" w:color="auto" w:fill="F2F2F2"/>
            <w:tcBorders>
              <w:top w:val="single" w:sz="4" w:color="BFBFBF"/>
              <w:left w:val="single" w:sz="4" w:color="BFBFBF"/>
              <w:bottom w:val="single" w:sz="4" w:color="BFBFBF"/>
              <w:right w:val="single" w:sz="4" w:color="BFBFBF"/>
            </w:tcBorders>
            <w:vAlign w:val="center"/>
          </w:tcPr>
          <w:p>
            <w:r>
              <w:rPr>
                <w:rFonts w:ascii="Calibri" w:hAnsi="Calibri"/>
                <w:sz w:val="20"/>
              </w:rPr>
              <w:t>IS fédéral + état, plan stocks</w:t>
            </w:r>
          </w:p>
        </w:tc>
        <w:tc>
          <w:tcPr>
            <w:tcW w:type="dxa" w:w="4819"/>
            <w:shd w:val="clear" w:color="auto" w:fill="F2F2F2"/>
            <w:tcBorders>
              <w:top w:val="single" w:sz="4" w:color="BFBFBF"/>
              <w:left w:val="single" w:sz="4" w:color="BFBFBF"/>
              <w:bottom w:val="single" w:sz="4" w:color="BFBFBF"/>
              <w:right w:val="single" w:sz="4" w:color="BFBFBF"/>
            </w:tcBorders>
            <w:vAlign w:val="center"/>
          </w:tcPr>
          <w:p>
            <w:r>
              <w:rPr>
                <w:rFonts w:ascii="Calibri" w:hAnsi="Calibri"/>
                <w:sz w:val="20"/>
              </w:rPr>
              <w:t>Cap table multi-classes, vesting</w:t>
            </w:r>
          </w:p>
        </w:tc>
      </w:tr>
    </w:tbl>
    <w:p>
      <w:pPr>
        <w:spacing w:after="120"/>
      </w:pPr>
    </w:p>
    <w:p>
      <w:pPr>
        <w:pStyle w:val="Heading2"/>
        <w:spacing w:before="240" w:after="120"/>
      </w:pPr>
      <w:r>
        <w:rPr>
          <w:rFonts w:ascii="Calibri" w:hAnsi="Calibri"/>
          <w:b/>
          <w:color w:val="0A2540"/>
          <w:sz w:val="30"/>
        </w:rPr>
        <w:t>3.7 L'horizon et la granularité temporelle</w:t>
      </w:r>
    </w:p>
    <w:p>
      <w:pPr>
        <w:spacing w:before="0" w:after="120"/>
        <w:jc w:val="both"/>
      </w:pPr>
      <w:r>
        <w:rPr>
          <w:rFonts w:ascii="Calibri" w:hAnsi="Calibri"/>
          <w:b w:val="0"/>
          <w:i w:val="0"/>
          <w:color w:val="000000"/>
          <w:sz w:val="22"/>
        </w:rPr>
        <w:t>L'horizon doit refléter à la fois la nature du business et l'objectif du modèle (planning stratégique, due diligence, recherche de financement).</w:t>
      </w:r>
    </w:p>
    <w:tbl>
      <w:tblPr>
        <w:tblW w:type="auto" w:w="0"/>
        <w:jc w:val="center"/>
        <w:tblLayout w:type="fixed"/>
        <w:tblLook w:firstColumn="1" w:firstRow="1" w:lastColumn="0" w:lastRow="0" w:noHBand="0" w:noVBand="1" w:val="04A0"/>
      </w:tblPr>
      <w:tblGrid>
        <w:gridCol w:w="2351"/>
        <w:gridCol w:w="2351"/>
        <w:gridCol w:w="2351"/>
        <w:gridCol w:w="2351"/>
      </w:tblGrid>
      <w:tr>
        <w:tc>
          <w:tcPr>
            <w:tcW w:type="dxa" w:w="2835"/>
            <w:shd w:val="clear" w:color="auto" w:fill="0A2540"/>
            <w:tcBorders>
              <w:top w:val="single" w:sz="4" w:color="BFBFBF"/>
              <w:left w:val="single" w:sz="4" w:color="BFBFBF"/>
              <w:bottom w:val="single" w:sz="4" w:color="BFBFBF"/>
              <w:right w:val="single" w:sz="4" w:color="BFBFBF"/>
            </w:tcBorders>
            <w:vAlign w:val="center"/>
          </w:tcPr>
          <w:p>
            <w:pPr>
              <w:jc w:val="center"/>
            </w:pPr>
            <w:r>
              <w:rPr>
                <w:rFonts w:ascii="Calibri" w:hAnsi="Calibri"/>
                <w:b/>
                <w:color w:val="FFFFFF"/>
                <w:sz w:val="20"/>
              </w:rPr>
              <w:t>Objectif</w:t>
            </w:r>
          </w:p>
        </w:tc>
        <w:tc>
          <w:tcPr>
            <w:tcW w:type="dxa" w:w="1984"/>
            <w:shd w:val="clear" w:color="auto" w:fill="0A2540"/>
            <w:tcBorders>
              <w:top w:val="single" w:sz="4" w:color="BFBFBF"/>
              <w:left w:val="single" w:sz="4" w:color="BFBFBF"/>
              <w:bottom w:val="single" w:sz="4" w:color="BFBFBF"/>
              <w:right w:val="single" w:sz="4" w:color="BFBFBF"/>
            </w:tcBorders>
            <w:vAlign w:val="center"/>
          </w:tcPr>
          <w:p>
            <w:pPr>
              <w:jc w:val="center"/>
            </w:pPr>
            <w:r>
              <w:rPr>
                <w:rFonts w:ascii="Calibri" w:hAnsi="Calibri"/>
                <w:b/>
                <w:color w:val="FFFFFF"/>
                <w:sz w:val="20"/>
              </w:rPr>
              <w:t>Horizon typique</w:t>
            </w:r>
          </w:p>
        </w:tc>
        <w:tc>
          <w:tcPr>
            <w:tcW w:type="dxa" w:w="2268"/>
            <w:shd w:val="clear" w:color="auto" w:fill="0A2540"/>
            <w:tcBorders>
              <w:top w:val="single" w:sz="4" w:color="BFBFBF"/>
              <w:left w:val="single" w:sz="4" w:color="BFBFBF"/>
              <w:bottom w:val="single" w:sz="4" w:color="BFBFBF"/>
              <w:right w:val="single" w:sz="4" w:color="BFBFBF"/>
            </w:tcBorders>
            <w:vAlign w:val="center"/>
          </w:tcPr>
          <w:p>
            <w:pPr>
              <w:jc w:val="center"/>
            </w:pPr>
            <w:r>
              <w:rPr>
                <w:rFonts w:ascii="Calibri" w:hAnsi="Calibri"/>
                <w:b/>
                <w:color w:val="FFFFFF"/>
                <w:sz w:val="20"/>
              </w:rPr>
              <w:t>Granularité Y1</w:t>
            </w:r>
          </w:p>
        </w:tc>
        <w:tc>
          <w:tcPr>
            <w:tcW w:type="dxa" w:w="2551"/>
            <w:shd w:val="clear" w:color="auto" w:fill="0A2540"/>
            <w:tcBorders>
              <w:top w:val="single" w:sz="4" w:color="BFBFBF"/>
              <w:left w:val="single" w:sz="4" w:color="BFBFBF"/>
              <w:bottom w:val="single" w:sz="4" w:color="BFBFBF"/>
              <w:right w:val="single" w:sz="4" w:color="BFBFBF"/>
            </w:tcBorders>
            <w:vAlign w:val="center"/>
          </w:tcPr>
          <w:p>
            <w:pPr>
              <w:jc w:val="center"/>
            </w:pPr>
            <w:r>
              <w:rPr>
                <w:rFonts w:ascii="Calibri" w:hAnsi="Calibri"/>
                <w:b/>
                <w:color w:val="FFFFFF"/>
                <w:sz w:val="20"/>
              </w:rPr>
              <w:t>Granularité Y2+</w:t>
            </w:r>
          </w:p>
        </w:tc>
      </w:tr>
      <w:tr>
        <w:tc>
          <w:tcPr>
            <w:tcW w:type="dxa" w:w="2835"/>
            <w:tcBorders>
              <w:top w:val="single" w:sz="4" w:color="BFBFBF"/>
              <w:left w:val="single" w:sz="4" w:color="BFBFBF"/>
              <w:bottom w:val="single" w:sz="4" w:color="BFBFBF"/>
              <w:right w:val="single" w:sz="4" w:color="BFBFBF"/>
            </w:tcBorders>
            <w:vAlign w:val="center"/>
          </w:tcPr>
          <w:p>
            <w:r>
              <w:rPr>
                <w:rFonts w:ascii="Calibri" w:hAnsi="Calibri"/>
                <w:sz w:val="20"/>
              </w:rPr>
              <w:t>Plan d'affaires stratégique</w:t>
            </w:r>
          </w:p>
        </w:tc>
        <w:tc>
          <w:tcPr>
            <w:tcW w:type="dxa" w:w="1984"/>
            <w:tcBorders>
              <w:top w:val="single" w:sz="4" w:color="BFBFBF"/>
              <w:left w:val="single" w:sz="4" w:color="BFBFBF"/>
              <w:bottom w:val="single" w:sz="4" w:color="BFBFBF"/>
              <w:right w:val="single" w:sz="4" w:color="BFBFBF"/>
            </w:tcBorders>
            <w:vAlign w:val="center"/>
          </w:tcPr>
          <w:p>
            <w:r>
              <w:rPr>
                <w:rFonts w:ascii="Calibri" w:hAnsi="Calibri"/>
                <w:sz w:val="20"/>
              </w:rPr>
              <w:t>5 à 10 ans</w:t>
            </w:r>
          </w:p>
        </w:tc>
        <w:tc>
          <w:tcPr>
            <w:tcW w:type="dxa" w:w="2268"/>
            <w:tcBorders>
              <w:top w:val="single" w:sz="4" w:color="BFBFBF"/>
              <w:left w:val="single" w:sz="4" w:color="BFBFBF"/>
              <w:bottom w:val="single" w:sz="4" w:color="BFBFBF"/>
              <w:right w:val="single" w:sz="4" w:color="BFBFBF"/>
            </w:tcBorders>
            <w:vAlign w:val="center"/>
          </w:tcPr>
          <w:p>
            <w:r>
              <w:rPr>
                <w:rFonts w:ascii="Calibri" w:hAnsi="Calibri"/>
                <w:sz w:val="20"/>
              </w:rPr>
              <w:t>Mensuelle</w:t>
            </w:r>
          </w:p>
        </w:tc>
        <w:tc>
          <w:tcPr>
            <w:tcW w:type="dxa" w:w="2551"/>
            <w:tcBorders>
              <w:top w:val="single" w:sz="4" w:color="BFBFBF"/>
              <w:left w:val="single" w:sz="4" w:color="BFBFBF"/>
              <w:bottom w:val="single" w:sz="4" w:color="BFBFBF"/>
              <w:right w:val="single" w:sz="4" w:color="BFBFBF"/>
            </w:tcBorders>
            <w:vAlign w:val="center"/>
          </w:tcPr>
          <w:p>
            <w:r>
              <w:rPr>
                <w:rFonts w:ascii="Calibri" w:hAnsi="Calibri"/>
                <w:sz w:val="20"/>
              </w:rPr>
              <w:t>Annuelle</w:t>
            </w:r>
          </w:p>
        </w:tc>
      </w:tr>
      <w:tr>
        <w:tc>
          <w:tcPr>
            <w:tcW w:type="dxa" w:w="2835"/>
            <w:shd w:val="clear" w:color="auto" w:fill="F2F2F2"/>
            <w:tcBorders>
              <w:top w:val="single" w:sz="4" w:color="BFBFBF"/>
              <w:left w:val="single" w:sz="4" w:color="BFBFBF"/>
              <w:bottom w:val="single" w:sz="4" w:color="BFBFBF"/>
              <w:right w:val="single" w:sz="4" w:color="BFBFBF"/>
            </w:tcBorders>
            <w:vAlign w:val="center"/>
          </w:tcPr>
          <w:p>
            <w:r>
              <w:rPr>
                <w:rFonts w:ascii="Calibri" w:hAnsi="Calibri"/>
                <w:sz w:val="20"/>
              </w:rPr>
              <w:t>Levée de fonds Series A/B</w:t>
            </w:r>
          </w:p>
        </w:tc>
        <w:tc>
          <w:tcPr>
            <w:tcW w:type="dxa" w:w="1984"/>
            <w:shd w:val="clear" w:color="auto" w:fill="F2F2F2"/>
            <w:tcBorders>
              <w:top w:val="single" w:sz="4" w:color="BFBFBF"/>
              <w:left w:val="single" w:sz="4" w:color="BFBFBF"/>
              <w:bottom w:val="single" w:sz="4" w:color="BFBFBF"/>
              <w:right w:val="single" w:sz="4" w:color="BFBFBF"/>
            </w:tcBorders>
            <w:vAlign w:val="center"/>
          </w:tcPr>
          <w:p>
            <w:r>
              <w:rPr>
                <w:rFonts w:ascii="Calibri" w:hAnsi="Calibri"/>
                <w:sz w:val="20"/>
              </w:rPr>
              <w:t>5 ans</w:t>
            </w:r>
          </w:p>
        </w:tc>
        <w:tc>
          <w:tcPr>
            <w:tcW w:type="dxa" w:w="2268"/>
            <w:shd w:val="clear" w:color="auto" w:fill="F2F2F2"/>
            <w:tcBorders>
              <w:top w:val="single" w:sz="4" w:color="BFBFBF"/>
              <w:left w:val="single" w:sz="4" w:color="BFBFBF"/>
              <w:bottom w:val="single" w:sz="4" w:color="BFBFBF"/>
              <w:right w:val="single" w:sz="4" w:color="BFBFBF"/>
            </w:tcBorders>
            <w:vAlign w:val="center"/>
          </w:tcPr>
          <w:p>
            <w:r>
              <w:rPr>
                <w:rFonts w:ascii="Calibri" w:hAnsi="Calibri"/>
                <w:sz w:val="20"/>
              </w:rPr>
              <w:t>Mensuelle</w:t>
            </w:r>
          </w:p>
        </w:tc>
        <w:tc>
          <w:tcPr>
            <w:tcW w:type="dxa" w:w="2551"/>
            <w:shd w:val="clear" w:color="auto" w:fill="F2F2F2"/>
            <w:tcBorders>
              <w:top w:val="single" w:sz="4" w:color="BFBFBF"/>
              <w:left w:val="single" w:sz="4" w:color="BFBFBF"/>
              <w:bottom w:val="single" w:sz="4" w:color="BFBFBF"/>
              <w:right w:val="single" w:sz="4" w:color="BFBFBF"/>
            </w:tcBorders>
            <w:vAlign w:val="center"/>
          </w:tcPr>
          <w:p>
            <w:r>
              <w:rPr>
                <w:rFonts w:ascii="Calibri" w:hAnsi="Calibri"/>
                <w:sz w:val="20"/>
              </w:rPr>
              <w:t>Trimestrielle Y2, annuelle après</w:t>
            </w:r>
          </w:p>
        </w:tc>
      </w:tr>
      <w:tr>
        <w:tc>
          <w:tcPr>
            <w:tcW w:type="dxa" w:w="2835"/>
            <w:tcBorders>
              <w:top w:val="single" w:sz="4" w:color="BFBFBF"/>
              <w:left w:val="single" w:sz="4" w:color="BFBFBF"/>
              <w:bottom w:val="single" w:sz="4" w:color="BFBFBF"/>
              <w:right w:val="single" w:sz="4" w:color="BFBFBF"/>
            </w:tcBorders>
            <w:vAlign w:val="center"/>
          </w:tcPr>
          <w:p>
            <w:r>
              <w:rPr>
                <w:rFonts w:ascii="Calibri" w:hAnsi="Calibri"/>
                <w:sz w:val="20"/>
              </w:rPr>
              <w:t>Plan de trésorerie court terme</w:t>
            </w:r>
          </w:p>
        </w:tc>
        <w:tc>
          <w:tcPr>
            <w:tcW w:type="dxa" w:w="1984"/>
            <w:tcBorders>
              <w:top w:val="single" w:sz="4" w:color="BFBFBF"/>
              <w:left w:val="single" w:sz="4" w:color="BFBFBF"/>
              <w:bottom w:val="single" w:sz="4" w:color="BFBFBF"/>
              <w:right w:val="single" w:sz="4" w:color="BFBFBF"/>
            </w:tcBorders>
            <w:vAlign w:val="center"/>
          </w:tcPr>
          <w:p>
            <w:r>
              <w:rPr>
                <w:rFonts w:ascii="Calibri" w:hAnsi="Calibri"/>
                <w:sz w:val="20"/>
              </w:rPr>
              <w:t>12 à 24 mois</w:t>
            </w:r>
          </w:p>
        </w:tc>
        <w:tc>
          <w:tcPr>
            <w:tcW w:type="dxa" w:w="2268"/>
            <w:tcBorders>
              <w:top w:val="single" w:sz="4" w:color="BFBFBF"/>
              <w:left w:val="single" w:sz="4" w:color="BFBFBF"/>
              <w:bottom w:val="single" w:sz="4" w:color="BFBFBF"/>
              <w:right w:val="single" w:sz="4" w:color="BFBFBF"/>
            </w:tcBorders>
            <w:vAlign w:val="center"/>
          </w:tcPr>
          <w:p>
            <w:r>
              <w:rPr>
                <w:rFonts w:ascii="Calibri" w:hAnsi="Calibri"/>
                <w:sz w:val="20"/>
              </w:rPr>
              <w:t>Hebdomadaire ou mensuelle</w:t>
            </w:r>
          </w:p>
        </w:tc>
        <w:tc>
          <w:tcPr>
            <w:tcW w:type="dxa" w:w="2551"/>
            <w:tcBorders>
              <w:top w:val="single" w:sz="4" w:color="BFBFBF"/>
              <w:left w:val="single" w:sz="4" w:color="BFBFBF"/>
              <w:bottom w:val="single" w:sz="4" w:color="BFBFBF"/>
              <w:right w:val="single" w:sz="4" w:color="BFBFBF"/>
            </w:tcBorders>
            <w:vAlign w:val="center"/>
          </w:tcPr>
          <w:p>
            <w:r>
              <w:rPr>
                <w:rFonts w:ascii="Calibri" w:hAnsi="Calibri"/>
                <w:sz w:val="20"/>
              </w:rPr>
              <w:t>Mensuelle</w:t>
            </w:r>
          </w:p>
        </w:tc>
      </w:tr>
      <w:tr>
        <w:tc>
          <w:tcPr>
            <w:tcW w:type="dxa" w:w="2835"/>
            <w:shd w:val="clear" w:color="auto" w:fill="F2F2F2"/>
            <w:tcBorders>
              <w:top w:val="single" w:sz="4" w:color="BFBFBF"/>
              <w:left w:val="single" w:sz="4" w:color="BFBFBF"/>
              <w:bottom w:val="single" w:sz="4" w:color="BFBFBF"/>
              <w:right w:val="single" w:sz="4" w:color="BFBFBF"/>
            </w:tcBorders>
            <w:vAlign w:val="center"/>
          </w:tcPr>
          <w:p>
            <w:r>
              <w:rPr>
                <w:rFonts w:ascii="Calibri" w:hAnsi="Calibri"/>
                <w:sz w:val="20"/>
              </w:rPr>
              <w:t>Budget annuel</w:t>
            </w:r>
          </w:p>
        </w:tc>
        <w:tc>
          <w:tcPr>
            <w:tcW w:type="dxa" w:w="1984"/>
            <w:shd w:val="clear" w:color="auto" w:fill="F2F2F2"/>
            <w:tcBorders>
              <w:top w:val="single" w:sz="4" w:color="BFBFBF"/>
              <w:left w:val="single" w:sz="4" w:color="BFBFBF"/>
              <w:bottom w:val="single" w:sz="4" w:color="BFBFBF"/>
              <w:right w:val="single" w:sz="4" w:color="BFBFBF"/>
            </w:tcBorders>
            <w:vAlign w:val="center"/>
          </w:tcPr>
          <w:p>
            <w:r>
              <w:rPr>
                <w:rFonts w:ascii="Calibri" w:hAnsi="Calibri"/>
                <w:sz w:val="20"/>
              </w:rPr>
              <w:t>1 an</w:t>
            </w:r>
          </w:p>
        </w:tc>
        <w:tc>
          <w:tcPr>
            <w:tcW w:type="dxa" w:w="2268"/>
            <w:shd w:val="clear" w:color="auto" w:fill="F2F2F2"/>
            <w:tcBorders>
              <w:top w:val="single" w:sz="4" w:color="BFBFBF"/>
              <w:left w:val="single" w:sz="4" w:color="BFBFBF"/>
              <w:bottom w:val="single" w:sz="4" w:color="BFBFBF"/>
              <w:right w:val="single" w:sz="4" w:color="BFBFBF"/>
            </w:tcBorders>
            <w:vAlign w:val="center"/>
          </w:tcPr>
          <w:p>
            <w:r>
              <w:rPr>
                <w:rFonts w:ascii="Calibri" w:hAnsi="Calibri"/>
                <w:sz w:val="20"/>
              </w:rPr>
              <w:t>Mensuelle</w:t>
            </w:r>
          </w:p>
        </w:tc>
        <w:tc>
          <w:tcPr>
            <w:tcW w:type="dxa" w:w="2551"/>
            <w:shd w:val="clear" w:color="auto" w:fill="F2F2F2"/>
            <w:tcBorders>
              <w:top w:val="single" w:sz="4" w:color="BFBFBF"/>
              <w:left w:val="single" w:sz="4" w:color="BFBFBF"/>
              <w:bottom w:val="single" w:sz="4" w:color="BFBFBF"/>
              <w:right w:val="single" w:sz="4" w:color="BFBFBF"/>
            </w:tcBorders>
            <w:vAlign w:val="center"/>
          </w:tcPr>
          <w:p>
            <w:r>
              <w:rPr>
                <w:rFonts w:ascii="Calibri" w:hAnsi="Calibri"/>
                <w:sz w:val="20"/>
              </w:rPr>
              <w:t>—</w:t>
            </w:r>
          </w:p>
        </w:tc>
      </w:tr>
      <w:tr>
        <w:tc>
          <w:tcPr>
            <w:tcW w:type="dxa" w:w="2835"/>
            <w:tcBorders>
              <w:top w:val="single" w:sz="4" w:color="BFBFBF"/>
              <w:left w:val="single" w:sz="4" w:color="BFBFBF"/>
              <w:bottom w:val="single" w:sz="4" w:color="BFBFBF"/>
              <w:right w:val="single" w:sz="4" w:color="BFBFBF"/>
            </w:tcBorders>
            <w:vAlign w:val="center"/>
          </w:tcPr>
          <w:p>
            <w:r>
              <w:rPr>
                <w:rFonts w:ascii="Calibri" w:hAnsi="Calibri"/>
                <w:sz w:val="20"/>
              </w:rPr>
              <w:t>Modèle d'acquisition (M&amp;A)</w:t>
            </w:r>
          </w:p>
        </w:tc>
        <w:tc>
          <w:tcPr>
            <w:tcW w:type="dxa" w:w="1984"/>
            <w:tcBorders>
              <w:top w:val="single" w:sz="4" w:color="BFBFBF"/>
              <w:left w:val="single" w:sz="4" w:color="BFBFBF"/>
              <w:bottom w:val="single" w:sz="4" w:color="BFBFBF"/>
              <w:right w:val="single" w:sz="4" w:color="BFBFBF"/>
            </w:tcBorders>
            <w:vAlign w:val="center"/>
          </w:tcPr>
          <w:p>
            <w:r>
              <w:rPr>
                <w:rFonts w:ascii="Calibri" w:hAnsi="Calibri"/>
                <w:sz w:val="20"/>
              </w:rPr>
              <w:t>5 à 7 ans</w:t>
            </w:r>
          </w:p>
        </w:tc>
        <w:tc>
          <w:tcPr>
            <w:tcW w:type="dxa" w:w="2268"/>
            <w:tcBorders>
              <w:top w:val="single" w:sz="4" w:color="BFBFBF"/>
              <w:left w:val="single" w:sz="4" w:color="BFBFBF"/>
              <w:bottom w:val="single" w:sz="4" w:color="BFBFBF"/>
              <w:right w:val="single" w:sz="4" w:color="BFBFBF"/>
            </w:tcBorders>
            <w:vAlign w:val="center"/>
          </w:tcPr>
          <w:p>
            <w:r>
              <w:rPr>
                <w:rFonts w:ascii="Calibri" w:hAnsi="Calibri"/>
                <w:sz w:val="20"/>
              </w:rPr>
              <w:t>Annuelle</w:t>
            </w:r>
          </w:p>
        </w:tc>
        <w:tc>
          <w:tcPr>
            <w:tcW w:type="dxa" w:w="2551"/>
            <w:tcBorders>
              <w:top w:val="single" w:sz="4" w:color="BFBFBF"/>
              <w:left w:val="single" w:sz="4" w:color="BFBFBF"/>
              <w:bottom w:val="single" w:sz="4" w:color="BFBFBF"/>
              <w:right w:val="single" w:sz="4" w:color="BFBFBF"/>
            </w:tcBorders>
            <w:vAlign w:val="center"/>
          </w:tcPr>
          <w:p>
            <w:r>
              <w:rPr>
                <w:rFonts w:ascii="Calibri" w:hAnsi="Calibri"/>
                <w:sz w:val="20"/>
              </w:rPr>
              <w:t>Annuelle</w:t>
            </w:r>
          </w:p>
        </w:tc>
      </w:tr>
      <w:tr>
        <w:tc>
          <w:tcPr>
            <w:tcW w:type="dxa" w:w="2835"/>
            <w:shd w:val="clear" w:color="auto" w:fill="F2F2F2"/>
            <w:tcBorders>
              <w:top w:val="single" w:sz="4" w:color="BFBFBF"/>
              <w:left w:val="single" w:sz="4" w:color="BFBFBF"/>
              <w:bottom w:val="single" w:sz="4" w:color="BFBFBF"/>
              <w:right w:val="single" w:sz="4" w:color="BFBFBF"/>
            </w:tcBorders>
            <w:vAlign w:val="center"/>
          </w:tcPr>
          <w:p>
            <w:r>
              <w:rPr>
                <w:rFonts w:ascii="Calibri" w:hAnsi="Calibri"/>
                <w:sz w:val="20"/>
              </w:rPr>
              <w:t>Modèle prudentiel (banque/assu)</w:t>
            </w:r>
          </w:p>
        </w:tc>
        <w:tc>
          <w:tcPr>
            <w:tcW w:type="dxa" w:w="1984"/>
            <w:shd w:val="clear" w:color="auto" w:fill="F2F2F2"/>
            <w:tcBorders>
              <w:top w:val="single" w:sz="4" w:color="BFBFBF"/>
              <w:left w:val="single" w:sz="4" w:color="BFBFBF"/>
              <w:bottom w:val="single" w:sz="4" w:color="BFBFBF"/>
              <w:right w:val="single" w:sz="4" w:color="BFBFBF"/>
            </w:tcBorders>
            <w:vAlign w:val="center"/>
          </w:tcPr>
          <w:p>
            <w:r>
              <w:rPr>
                <w:rFonts w:ascii="Calibri" w:hAnsi="Calibri"/>
                <w:sz w:val="20"/>
              </w:rPr>
              <w:t>3 à 5 ans</w:t>
            </w:r>
          </w:p>
        </w:tc>
        <w:tc>
          <w:tcPr>
            <w:tcW w:type="dxa" w:w="2268"/>
            <w:shd w:val="clear" w:color="auto" w:fill="F2F2F2"/>
            <w:tcBorders>
              <w:top w:val="single" w:sz="4" w:color="BFBFBF"/>
              <w:left w:val="single" w:sz="4" w:color="BFBFBF"/>
              <w:bottom w:val="single" w:sz="4" w:color="BFBFBF"/>
              <w:right w:val="single" w:sz="4" w:color="BFBFBF"/>
            </w:tcBorders>
            <w:vAlign w:val="center"/>
          </w:tcPr>
          <w:p>
            <w:r>
              <w:rPr>
                <w:rFonts w:ascii="Calibri" w:hAnsi="Calibri"/>
                <w:sz w:val="20"/>
              </w:rPr>
              <w:t>Trimestrielle</w:t>
            </w:r>
          </w:p>
        </w:tc>
        <w:tc>
          <w:tcPr>
            <w:tcW w:type="dxa" w:w="2551"/>
            <w:shd w:val="clear" w:color="auto" w:fill="F2F2F2"/>
            <w:tcBorders>
              <w:top w:val="single" w:sz="4" w:color="BFBFBF"/>
              <w:left w:val="single" w:sz="4" w:color="BFBFBF"/>
              <w:bottom w:val="single" w:sz="4" w:color="BFBFBF"/>
              <w:right w:val="single" w:sz="4" w:color="BFBFBF"/>
            </w:tcBorders>
            <w:vAlign w:val="center"/>
          </w:tcPr>
          <w:p>
            <w:r>
              <w:rPr>
                <w:rFonts w:ascii="Calibri" w:hAnsi="Calibri"/>
                <w:sz w:val="20"/>
              </w:rPr>
              <w:t>Annuelle</w:t>
            </w:r>
          </w:p>
        </w:tc>
      </w:tr>
    </w:tbl>
    <w:p>
      <w:pPr>
        <w:spacing w:after="120"/>
      </w:pPr>
    </w:p>
    <w:p>
      <w:r>
        <w:br w:type="page"/>
      </w:r>
    </w:p>
    <w:p>
      <w:pPr>
        <w:pStyle w:val="Heading1"/>
        <w:spacing w:before="240" w:after="120"/>
      </w:pPr>
      <w:r>
        <w:rPr>
          <w:rFonts w:ascii="Calibri" w:hAnsi="Calibri"/>
          <w:b/>
          <w:color w:val="0A2540"/>
          <w:sz w:val="36"/>
        </w:rPr>
        <w:t>4. Référentiels normatifs et fiscaux par zone</w:t>
      </w:r>
    </w:p>
    <w:p>
      <w:pPr>
        <w:pStyle w:val="Heading2"/>
        <w:spacing w:before="240" w:after="120"/>
      </w:pPr>
      <w:r>
        <w:rPr>
          <w:rFonts w:ascii="Calibri" w:hAnsi="Calibri"/>
          <w:b/>
          <w:color w:val="0A2540"/>
          <w:sz w:val="30"/>
        </w:rPr>
        <w:t>4.1 SYSCOHADA Révisé (2017)</w:t>
      </w:r>
    </w:p>
    <w:p>
      <w:pPr>
        <w:spacing w:before="0" w:after="120"/>
        <w:jc w:val="both"/>
      </w:pPr>
      <w:r>
        <w:rPr>
          <w:rFonts w:ascii="Calibri" w:hAnsi="Calibri"/>
          <w:b w:val="0"/>
          <w:i w:val="0"/>
          <w:color w:val="000000"/>
          <w:sz w:val="22"/>
        </w:rPr>
        <w:t>Le Système Comptable OHADA Révisé, applicable depuis le 1er janvier 2018, est le référentiel comptable obligatoire pour toutes les entités exerçant dans les 17 États membres de l'OHADA. Il s'articule autour de quatre composantes que l'outil doit intégrer :</w:t>
      </w:r>
    </w:p>
    <w:p>
      <w:pPr>
        <w:pStyle w:val="ListBullet"/>
        <w:spacing w:after="60"/>
        <w:ind w:left="340"/>
      </w:pPr>
      <w:r>
        <w:rPr>
          <w:rFonts w:ascii="Calibri" w:hAnsi="Calibri"/>
          <w:sz w:val="22"/>
        </w:rPr>
        <w:t>Le Plan Comptable Général SYSCOHADA : huit classes (1 à 8) avec une codification à 6 chiffres, intégrant les ajustements IFRS sur les normes critiques (revenus, leasing, instruments financiers)</w:t>
      </w:r>
    </w:p>
    <w:p>
      <w:pPr>
        <w:pStyle w:val="ListBullet"/>
        <w:spacing w:after="60"/>
        <w:ind w:left="340"/>
      </w:pPr>
      <w:r>
        <w:rPr>
          <w:rFonts w:ascii="Calibri" w:hAnsi="Calibri"/>
          <w:sz w:val="22"/>
        </w:rPr>
        <w:t>Les états financiers normalisés : Bilan, Compte de résultat, Tableau des flux de trésorerie (TFT), Notes annexes, État supplémentaire statistique</w:t>
      </w:r>
    </w:p>
    <w:p>
      <w:pPr>
        <w:pStyle w:val="ListBullet"/>
        <w:spacing w:after="60"/>
        <w:ind w:left="340"/>
      </w:pPr>
      <w:r>
        <w:rPr>
          <w:rFonts w:ascii="Calibri" w:hAnsi="Calibri"/>
          <w:sz w:val="22"/>
        </w:rPr>
        <w:t>Le système normal et le système minimal de trésorerie (SMT) pour les TPE</w:t>
      </w:r>
    </w:p>
    <w:p>
      <w:pPr>
        <w:pStyle w:val="ListBullet"/>
        <w:spacing w:after="60"/>
        <w:ind w:left="340"/>
      </w:pPr>
      <w:r>
        <w:rPr>
          <w:rFonts w:ascii="Calibri" w:hAnsi="Calibri"/>
          <w:sz w:val="22"/>
        </w:rPr>
        <w:t>Les obligations de production : États financiers annuels, déclaration statistique et fiscale (DSF), dépôt au CEPICI, RCCM ou équivalent national</w:t>
      </w:r>
    </w:p>
    <w:tbl>
      <w:tblPr>
        <w:tblW w:type="auto" w:w="0"/>
        <w:tblLook w:firstColumn="1" w:firstRow="1" w:lastColumn="0" w:lastRow="0" w:noHBand="0" w:noVBand="1" w:val="04A0"/>
      </w:tblPr>
      <w:tblGrid>
        <w:gridCol w:w="9406"/>
      </w:tblGrid>
      <w:tr>
        <w:tc>
          <w:tcPr>
            <w:tcW w:type="dxa" w:w="9406"/>
            <w:shd w:val="clear" w:color="auto" w:fill="D6E0EC"/>
            <w:tcBorders>
              <w:top w:val="single" w:sz="12" w:color="0A2540"/>
              <w:bottom w:val="single" w:sz="4" w:color="0A2540"/>
              <w:left w:val="single" w:sz="24" w:color="0A2540"/>
              <w:right w:val="single" w:sz="4" w:color="0A2540"/>
            </w:tcBorders>
          </w:tcPr>
          <w:p>
            <w:r>
              <w:rPr>
                <w:rFonts w:ascii="Calibri" w:hAnsi="Calibri"/>
                <w:b/>
                <w:color w:val="0A2540"/>
                <w:sz w:val="22"/>
              </w:rPr>
              <w:t>Convergence SYSCOHADA / IFRS</w:t>
            </w:r>
          </w:p>
          <w:p>
            <w:pPr>
              <w:jc w:val="both"/>
            </w:pPr>
            <w:r>
              <w:rPr>
                <w:rFonts w:ascii="Calibri" w:hAnsi="Calibri"/>
                <w:sz w:val="22"/>
              </w:rPr>
              <w:t>Le SYSCOHADA Révisé a convergé significativement vers les IFRS sur plusieurs sujets clés : reconnaissance du revenu (IFRS 15), traitement des contrats de location (IFRS 16 partiellement), instruments financiers (IFRS 9 dans le SYSCOHADA bancaire), provisions et passifs éventuels (IAS 37). Pour autant, des divergences persistent (amortissements dégressifs spécifiques, traitement des écarts de change, immobilisations incorporelles). L'outil doit gérer les deux référentiels et expliciter les ponts.</w:t>
            </w:r>
          </w:p>
        </w:tc>
      </w:tr>
    </w:tbl>
    <w:p>
      <w:pPr>
        <w:spacing w:after="120"/>
      </w:pPr>
    </w:p>
    <w:p>
      <w:pPr>
        <w:pStyle w:val="Heading2"/>
        <w:spacing w:before="240" w:after="120"/>
      </w:pPr>
      <w:r>
        <w:rPr>
          <w:rFonts w:ascii="Calibri" w:hAnsi="Calibri"/>
          <w:b/>
          <w:color w:val="0A2540"/>
          <w:sz w:val="30"/>
        </w:rPr>
        <w:t>4.2 IFRS (International Financial Reporting Standards)</w:t>
      </w:r>
    </w:p>
    <w:p>
      <w:pPr>
        <w:spacing w:before="0" w:after="120"/>
        <w:jc w:val="both"/>
      </w:pPr>
      <w:r>
        <w:rPr>
          <w:rFonts w:ascii="Calibri" w:hAnsi="Calibri"/>
          <w:b w:val="0"/>
          <w:i w:val="0"/>
          <w:color w:val="000000"/>
          <w:sz w:val="22"/>
        </w:rPr>
        <w:t>Les IFRS sont obligatoires pour les entités cotées et les établissements financiers de plusieurs juridictions. Pour les autres, elles sont souvent appliquées par option (filiales de groupes internationaux, levées de fonds internationales). L'outil doit couvrir les normes suivantes :</w:t>
      </w:r>
    </w:p>
    <w:tbl>
      <w:tblPr>
        <w:tblW w:type="auto" w:w="0"/>
        <w:jc w:val="center"/>
        <w:tblLayout w:type="fixed"/>
        <w:tblLook w:firstColumn="1" w:firstRow="1" w:lastColumn="0" w:lastRow="0" w:noHBand="0" w:noVBand="1" w:val="04A0"/>
      </w:tblPr>
      <w:tblGrid>
        <w:gridCol w:w="3135"/>
        <w:gridCol w:w="3135"/>
        <w:gridCol w:w="3135"/>
      </w:tblGrid>
      <w:tr>
        <w:tc>
          <w:tcPr>
            <w:tcW w:type="dxa" w:w="1417"/>
            <w:shd w:val="clear" w:color="auto" w:fill="0A2540"/>
            <w:tcBorders>
              <w:top w:val="single" w:sz="4" w:color="BFBFBF"/>
              <w:left w:val="single" w:sz="4" w:color="BFBFBF"/>
              <w:bottom w:val="single" w:sz="4" w:color="BFBFBF"/>
              <w:right w:val="single" w:sz="4" w:color="BFBFBF"/>
            </w:tcBorders>
            <w:vAlign w:val="center"/>
          </w:tcPr>
          <w:p>
            <w:pPr>
              <w:jc w:val="center"/>
            </w:pPr>
            <w:r>
              <w:rPr>
                <w:rFonts w:ascii="Calibri" w:hAnsi="Calibri"/>
                <w:b/>
                <w:color w:val="FFFFFF"/>
                <w:sz w:val="20"/>
              </w:rPr>
              <w:t>Norme IFRS</w:t>
            </w:r>
          </w:p>
        </w:tc>
        <w:tc>
          <w:tcPr>
            <w:tcW w:type="dxa" w:w="4252"/>
            <w:shd w:val="clear" w:color="auto" w:fill="0A2540"/>
            <w:tcBorders>
              <w:top w:val="single" w:sz="4" w:color="BFBFBF"/>
              <w:left w:val="single" w:sz="4" w:color="BFBFBF"/>
              <w:bottom w:val="single" w:sz="4" w:color="BFBFBF"/>
              <w:right w:val="single" w:sz="4" w:color="BFBFBF"/>
            </w:tcBorders>
            <w:vAlign w:val="center"/>
          </w:tcPr>
          <w:p>
            <w:pPr>
              <w:jc w:val="center"/>
            </w:pPr>
            <w:r>
              <w:rPr>
                <w:rFonts w:ascii="Calibri" w:hAnsi="Calibri"/>
                <w:b/>
                <w:color w:val="FFFFFF"/>
                <w:sz w:val="20"/>
              </w:rPr>
              <w:t>Sujet</w:t>
            </w:r>
          </w:p>
        </w:tc>
        <w:tc>
          <w:tcPr>
            <w:tcW w:type="dxa" w:w="3402"/>
            <w:shd w:val="clear" w:color="auto" w:fill="0A2540"/>
            <w:tcBorders>
              <w:top w:val="single" w:sz="4" w:color="BFBFBF"/>
              <w:left w:val="single" w:sz="4" w:color="BFBFBF"/>
              <w:bottom w:val="single" w:sz="4" w:color="BFBFBF"/>
              <w:right w:val="single" w:sz="4" w:color="BFBFBF"/>
            </w:tcBorders>
            <w:vAlign w:val="center"/>
          </w:tcPr>
          <w:p>
            <w:pPr>
              <w:jc w:val="center"/>
            </w:pPr>
            <w:r>
              <w:rPr>
                <w:rFonts w:ascii="Calibri" w:hAnsi="Calibri"/>
                <w:b/>
                <w:color w:val="FFFFFF"/>
                <w:sz w:val="20"/>
              </w:rPr>
              <w:t>Secteurs critiques</w:t>
            </w:r>
          </w:p>
        </w:tc>
      </w:tr>
      <w:tr>
        <w:tc>
          <w:tcPr>
            <w:tcW w:type="dxa" w:w="1417"/>
            <w:tcBorders>
              <w:top w:val="single" w:sz="4" w:color="BFBFBF"/>
              <w:left w:val="single" w:sz="4" w:color="BFBFBF"/>
              <w:bottom w:val="single" w:sz="4" w:color="BFBFBF"/>
              <w:right w:val="single" w:sz="4" w:color="BFBFBF"/>
            </w:tcBorders>
            <w:vAlign w:val="center"/>
          </w:tcPr>
          <w:p>
            <w:r>
              <w:rPr>
                <w:rFonts w:ascii="Calibri" w:hAnsi="Calibri"/>
                <w:sz w:val="20"/>
              </w:rPr>
              <w:t>IFRS 9</w:t>
            </w:r>
          </w:p>
        </w:tc>
        <w:tc>
          <w:tcPr>
            <w:tcW w:type="dxa" w:w="4252"/>
            <w:tcBorders>
              <w:top w:val="single" w:sz="4" w:color="BFBFBF"/>
              <w:left w:val="single" w:sz="4" w:color="BFBFBF"/>
              <w:bottom w:val="single" w:sz="4" w:color="BFBFBF"/>
              <w:right w:val="single" w:sz="4" w:color="BFBFBF"/>
            </w:tcBorders>
            <w:vAlign w:val="center"/>
          </w:tcPr>
          <w:p>
            <w:r>
              <w:rPr>
                <w:rFonts w:ascii="Calibri" w:hAnsi="Calibri"/>
                <w:sz w:val="20"/>
              </w:rPr>
              <w:t>Instruments financiers (ECL, classification)</w:t>
            </w:r>
          </w:p>
        </w:tc>
        <w:tc>
          <w:tcPr>
            <w:tcW w:type="dxa" w:w="3402"/>
            <w:tcBorders>
              <w:top w:val="single" w:sz="4" w:color="BFBFBF"/>
              <w:left w:val="single" w:sz="4" w:color="BFBFBF"/>
              <w:bottom w:val="single" w:sz="4" w:color="BFBFBF"/>
              <w:right w:val="single" w:sz="4" w:color="BFBFBF"/>
            </w:tcBorders>
            <w:vAlign w:val="center"/>
          </w:tcPr>
          <w:p>
            <w:r>
              <w:rPr>
                <w:rFonts w:ascii="Calibri" w:hAnsi="Calibri"/>
                <w:sz w:val="20"/>
              </w:rPr>
              <w:t>Banque, Fintech lending</w:t>
            </w:r>
          </w:p>
        </w:tc>
      </w:tr>
      <w:tr>
        <w:tc>
          <w:tcPr>
            <w:tcW w:type="dxa" w:w="1417"/>
            <w:shd w:val="clear" w:color="auto" w:fill="F2F2F2"/>
            <w:tcBorders>
              <w:top w:val="single" w:sz="4" w:color="BFBFBF"/>
              <w:left w:val="single" w:sz="4" w:color="BFBFBF"/>
              <w:bottom w:val="single" w:sz="4" w:color="BFBFBF"/>
              <w:right w:val="single" w:sz="4" w:color="BFBFBF"/>
            </w:tcBorders>
            <w:vAlign w:val="center"/>
          </w:tcPr>
          <w:p>
            <w:r>
              <w:rPr>
                <w:rFonts w:ascii="Calibri" w:hAnsi="Calibri"/>
                <w:sz w:val="20"/>
              </w:rPr>
              <w:t>IFRS 15</w:t>
            </w:r>
          </w:p>
        </w:tc>
        <w:tc>
          <w:tcPr>
            <w:tcW w:type="dxa" w:w="4252"/>
            <w:shd w:val="clear" w:color="auto" w:fill="F2F2F2"/>
            <w:tcBorders>
              <w:top w:val="single" w:sz="4" w:color="BFBFBF"/>
              <w:left w:val="single" w:sz="4" w:color="BFBFBF"/>
              <w:bottom w:val="single" w:sz="4" w:color="BFBFBF"/>
              <w:right w:val="single" w:sz="4" w:color="BFBFBF"/>
            </w:tcBorders>
            <w:vAlign w:val="center"/>
          </w:tcPr>
          <w:p>
            <w:r>
              <w:rPr>
                <w:rFonts w:ascii="Calibri" w:hAnsi="Calibri"/>
                <w:sz w:val="20"/>
              </w:rPr>
              <w:t>Reconnaissance du revenu (5 étapes)</w:t>
            </w:r>
          </w:p>
        </w:tc>
        <w:tc>
          <w:tcPr>
            <w:tcW w:type="dxa" w:w="3402"/>
            <w:shd w:val="clear" w:color="auto" w:fill="F2F2F2"/>
            <w:tcBorders>
              <w:top w:val="single" w:sz="4" w:color="BFBFBF"/>
              <w:left w:val="single" w:sz="4" w:color="BFBFBF"/>
              <w:bottom w:val="single" w:sz="4" w:color="BFBFBF"/>
              <w:right w:val="single" w:sz="4" w:color="BFBFBF"/>
            </w:tcBorders>
            <w:vAlign w:val="center"/>
          </w:tcPr>
          <w:p>
            <w:r>
              <w:rPr>
                <w:rFonts w:ascii="Calibri" w:hAnsi="Calibri"/>
                <w:sz w:val="20"/>
              </w:rPr>
              <w:t>Tous, particulièrement BTP, SaaS</w:t>
            </w:r>
          </w:p>
        </w:tc>
      </w:tr>
      <w:tr>
        <w:tc>
          <w:tcPr>
            <w:tcW w:type="dxa" w:w="1417"/>
            <w:tcBorders>
              <w:top w:val="single" w:sz="4" w:color="BFBFBF"/>
              <w:left w:val="single" w:sz="4" w:color="BFBFBF"/>
              <w:bottom w:val="single" w:sz="4" w:color="BFBFBF"/>
              <w:right w:val="single" w:sz="4" w:color="BFBFBF"/>
            </w:tcBorders>
            <w:vAlign w:val="center"/>
          </w:tcPr>
          <w:p>
            <w:r>
              <w:rPr>
                <w:rFonts w:ascii="Calibri" w:hAnsi="Calibri"/>
                <w:sz w:val="20"/>
              </w:rPr>
              <w:t>IFRS 16</w:t>
            </w:r>
          </w:p>
        </w:tc>
        <w:tc>
          <w:tcPr>
            <w:tcW w:type="dxa" w:w="4252"/>
            <w:tcBorders>
              <w:top w:val="single" w:sz="4" w:color="BFBFBF"/>
              <w:left w:val="single" w:sz="4" w:color="BFBFBF"/>
              <w:bottom w:val="single" w:sz="4" w:color="BFBFBF"/>
              <w:right w:val="single" w:sz="4" w:color="BFBFBF"/>
            </w:tcBorders>
            <w:vAlign w:val="center"/>
          </w:tcPr>
          <w:p>
            <w:r>
              <w:rPr>
                <w:rFonts w:ascii="Calibri" w:hAnsi="Calibri"/>
                <w:sz w:val="20"/>
              </w:rPr>
              <w:t>Contrats de location (right-of-use, lease liability)</w:t>
            </w:r>
          </w:p>
        </w:tc>
        <w:tc>
          <w:tcPr>
            <w:tcW w:type="dxa" w:w="3402"/>
            <w:tcBorders>
              <w:top w:val="single" w:sz="4" w:color="BFBFBF"/>
              <w:left w:val="single" w:sz="4" w:color="BFBFBF"/>
              <w:bottom w:val="single" w:sz="4" w:color="BFBFBF"/>
              <w:right w:val="single" w:sz="4" w:color="BFBFBF"/>
            </w:tcBorders>
            <w:vAlign w:val="center"/>
          </w:tcPr>
          <w:p>
            <w:r>
              <w:rPr>
                <w:rFonts w:ascii="Calibri" w:hAnsi="Calibri"/>
                <w:sz w:val="20"/>
              </w:rPr>
              <w:t>Tous, particulièrement retail, restauration</w:t>
            </w:r>
          </w:p>
        </w:tc>
      </w:tr>
      <w:tr>
        <w:tc>
          <w:tcPr>
            <w:tcW w:type="dxa" w:w="1417"/>
            <w:shd w:val="clear" w:color="auto" w:fill="F2F2F2"/>
            <w:tcBorders>
              <w:top w:val="single" w:sz="4" w:color="BFBFBF"/>
              <w:left w:val="single" w:sz="4" w:color="BFBFBF"/>
              <w:bottom w:val="single" w:sz="4" w:color="BFBFBF"/>
              <w:right w:val="single" w:sz="4" w:color="BFBFBF"/>
            </w:tcBorders>
            <w:vAlign w:val="center"/>
          </w:tcPr>
          <w:p>
            <w:r>
              <w:rPr>
                <w:rFonts w:ascii="Calibri" w:hAnsi="Calibri"/>
                <w:sz w:val="20"/>
              </w:rPr>
              <w:t>IFRS 17</w:t>
            </w:r>
          </w:p>
        </w:tc>
        <w:tc>
          <w:tcPr>
            <w:tcW w:type="dxa" w:w="4252"/>
            <w:shd w:val="clear" w:color="auto" w:fill="F2F2F2"/>
            <w:tcBorders>
              <w:top w:val="single" w:sz="4" w:color="BFBFBF"/>
              <w:left w:val="single" w:sz="4" w:color="BFBFBF"/>
              <w:bottom w:val="single" w:sz="4" w:color="BFBFBF"/>
              <w:right w:val="single" w:sz="4" w:color="BFBFBF"/>
            </w:tcBorders>
            <w:vAlign w:val="center"/>
          </w:tcPr>
          <w:p>
            <w:r>
              <w:rPr>
                <w:rFonts w:ascii="Calibri" w:hAnsi="Calibri"/>
                <w:sz w:val="20"/>
              </w:rPr>
              <w:t>Contrats d'assurance (CSM, fulfilment CF)</w:t>
            </w:r>
          </w:p>
        </w:tc>
        <w:tc>
          <w:tcPr>
            <w:tcW w:type="dxa" w:w="3402"/>
            <w:shd w:val="clear" w:color="auto" w:fill="F2F2F2"/>
            <w:tcBorders>
              <w:top w:val="single" w:sz="4" w:color="BFBFBF"/>
              <w:left w:val="single" w:sz="4" w:color="BFBFBF"/>
              <w:bottom w:val="single" w:sz="4" w:color="BFBFBF"/>
              <w:right w:val="single" w:sz="4" w:color="BFBFBF"/>
            </w:tcBorders>
            <w:vAlign w:val="center"/>
          </w:tcPr>
          <w:p>
            <w:r>
              <w:rPr>
                <w:rFonts w:ascii="Calibri" w:hAnsi="Calibri"/>
                <w:sz w:val="20"/>
              </w:rPr>
              <w:t>Assurance</w:t>
            </w:r>
          </w:p>
        </w:tc>
      </w:tr>
      <w:tr>
        <w:tc>
          <w:tcPr>
            <w:tcW w:type="dxa" w:w="1417"/>
            <w:tcBorders>
              <w:top w:val="single" w:sz="4" w:color="BFBFBF"/>
              <w:left w:val="single" w:sz="4" w:color="BFBFBF"/>
              <w:bottom w:val="single" w:sz="4" w:color="BFBFBF"/>
              <w:right w:val="single" w:sz="4" w:color="BFBFBF"/>
            </w:tcBorders>
            <w:vAlign w:val="center"/>
          </w:tcPr>
          <w:p>
            <w:r>
              <w:rPr>
                <w:rFonts w:ascii="Calibri" w:hAnsi="Calibri"/>
                <w:sz w:val="20"/>
              </w:rPr>
              <w:t>IAS 2</w:t>
            </w:r>
          </w:p>
        </w:tc>
        <w:tc>
          <w:tcPr>
            <w:tcW w:type="dxa" w:w="4252"/>
            <w:tcBorders>
              <w:top w:val="single" w:sz="4" w:color="BFBFBF"/>
              <w:left w:val="single" w:sz="4" w:color="BFBFBF"/>
              <w:bottom w:val="single" w:sz="4" w:color="BFBFBF"/>
              <w:right w:val="single" w:sz="4" w:color="BFBFBF"/>
            </w:tcBorders>
            <w:vAlign w:val="center"/>
          </w:tcPr>
          <w:p>
            <w:r>
              <w:rPr>
                <w:rFonts w:ascii="Calibri" w:hAnsi="Calibri"/>
                <w:sz w:val="20"/>
              </w:rPr>
              <w:t>Stocks (valorisation, dépréciation)</w:t>
            </w:r>
          </w:p>
        </w:tc>
        <w:tc>
          <w:tcPr>
            <w:tcW w:type="dxa" w:w="3402"/>
            <w:tcBorders>
              <w:top w:val="single" w:sz="4" w:color="BFBFBF"/>
              <w:left w:val="single" w:sz="4" w:color="BFBFBF"/>
              <w:bottom w:val="single" w:sz="4" w:color="BFBFBF"/>
              <w:right w:val="single" w:sz="4" w:color="BFBFBF"/>
            </w:tcBorders>
            <w:vAlign w:val="center"/>
          </w:tcPr>
          <w:p>
            <w:r>
              <w:rPr>
                <w:rFonts w:ascii="Calibri" w:hAnsi="Calibri"/>
                <w:sz w:val="20"/>
              </w:rPr>
              <w:t>Industrie, Commerce</w:t>
            </w:r>
          </w:p>
        </w:tc>
      </w:tr>
      <w:tr>
        <w:tc>
          <w:tcPr>
            <w:tcW w:type="dxa" w:w="1417"/>
            <w:shd w:val="clear" w:color="auto" w:fill="F2F2F2"/>
            <w:tcBorders>
              <w:top w:val="single" w:sz="4" w:color="BFBFBF"/>
              <w:left w:val="single" w:sz="4" w:color="BFBFBF"/>
              <w:bottom w:val="single" w:sz="4" w:color="BFBFBF"/>
              <w:right w:val="single" w:sz="4" w:color="BFBFBF"/>
            </w:tcBorders>
            <w:vAlign w:val="center"/>
          </w:tcPr>
          <w:p>
            <w:r>
              <w:rPr>
                <w:rFonts w:ascii="Calibri" w:hAnsi="Calibri"/>
                <w:sz w:val="20"/>
              </w:rPr>
              <w:t>IAS 12</w:t>
            </w:r>
          </w:p>
        </w:tc>
        <w:tc>
          <w:tcPr>
            <w:tcW w:type="dxa" w:w="4252"/>
            <w:shd w:val="clear" w:color="auto" w:fill="F2F2F2"/>
            <w:tcBorders>
              <w:top w:val="single" w:sz="4" w:color="BFBFBF"/>
              <w:left w:val="single" w:sz="4" w:color="BFBFBF"/>
              <w:bottom w:val="single" w:sz="4" w:color="BFBFBF"/>
              <w:right w:val="single" w:sz="4" w:color="BFBFBF"/>
            </w:tcBorders>
            <w:vAlign w:val="center"/>
          </w:tcPr>
          <w:p>
            <w:r>
              <w:rPr>
                <w:rFonts w:ascii="Calibri" w:hAnsi="Calibri"/>
                <w:sz w:val="20"/>
              </w:rPr>
              <w:t>Impôts sur le résultat (différés)</w:t>
            </w:r>
          </w:p>
        </w:tc>
        <w:tc>
          <w:tcPr>
            <w:tcW w:type="dxa" w:w="3402"/>
            <w:shd w:val="clear" w:color="auto" w:fill="F2F2F2"/>
            <w:tcBorders>
              <w:top w:val="single" w:sz="4" w:color="BFBFBF"/>
              <w:left w:val="single" w:sz="4" w:color="BFBFBF"/>
              <w:bottom w:val="single" w:sz="4" w:color="BFBFBF"/>
              <w:right w:val="single" w:sz="4" w:color="BFBFBF"/>
            </w:tcBorders>
            <w:vAlign w:val="center"/>
          </w:tcPr>
          <w:p>
            <w:r>
              <w:rPr>
                <w:rFonts w:ascii="Calibri" w:hAnsi="Calibri"/>
                <w:sz w:val="20"/>
              </w:rPr>
              <w:t>Tous</w:t>
            </w:r>
          </w:p>
        </w:tc>
      </w:tr>
      <w:tr>
        <w:tc>
          <w:tcPr>
            <w:tcW w:type="dxa" w:w="1417"/>
            <w:tcBorders>
              <w:top w:val="single" w:sz="4" w:color="BFBFBF"/>
              <w:left w:val="single" w:sz="4" w:color="BFBFBF"/>
              <w:bottom w:val="single" w:sz="4" w:color="BFBFBF"/>
              <w:right w:val="single" w:sz="4" w:color="BFBFBF"/>
            </w:tcBorders>
            <w:vAlign w:val="center"/>
          </w:tcPr>
          <w:p>
            <w:r>
              <w:rPr>
                <w:rFonts w:ascii="Calibri" w:hAnsi="Calibri"/>
                <w:sz w:val="20"/>
              </w:rPr>
              <w:t>IAS 19</w:t>
            </w:r>
          </w:p>
        </w:tc>
        <w:tc>
          <w:tcPr>
            <w:tcW w:type="dxa" w:w="4252"/>
            <w:tcBorders>
              <w:top w:val="single" w:sz="4" w:color="BFBFBF"/>
              <w:left w:val="single" w:sz="4" w:color="BFBFBF"/>
              <w:bottom w:val="single" w:sz="4" w:color="BFBFBF"/>
              <w:right w:val="single" w:sz="4" w:color="BFBFBF"/>
            </w:tcBorders>
            <w:vAlign w:val="center"/>
          </w:tcPr>
          <w:p>
            <w:r>
              <w:rPr>
                <w:rFonts w:ascii="Calibri" w:hAnsi="Calibri"/>
                <w:sz w:val="20"/>
              </w:rPr>
              <w:t>Avantages du personnel (engagements retraite)</w:t>
            </w:r>
          </w:p>
        </w:tc>
        <w:tc>
          <w:tcPr>
            <w:tcW w:type="dxa" w:w="3402"/>
            <w:tcBorders>
              <w:top w:val="single" w:sz="4" w:color="BFBFBF"/>
              <w:left w:val="single" w:sz="4" w:color="BFBFBF"/>
              <w:bottom w:val="single" w:sz="4" w:color="BFBFBF"/>
              <w:right w:val="single" w:sz="4" w:color="BFBFBF"/>
            </w:tcBorders>
            <w:vAlign w:val="center"/>
          </w:tcPr>
          <w:p>
            <w:r>
              <w:rPr>
                <w:rFonts w:ascii="Calibri" w:hAnsi="Calibri"/>
                <w:sz w:val="20"/>
              </w:rPr>
              <w:t>Tous</w:t>
            </w:r>
          </w:p>
        </w:tc>
      </w:tr>
      <w:tr>
        <w:tc>
          <w:tcPr>
            <w:tcW w:type="dxa" w:w="1417"/>
            <w:shd w:val="clear" w:color="auto" w:fill="F2F2F2"/>
            <w:tcBorders>
              <w:top w:val="single" w:sz="4" w:color="BFBFBF"/>
              <w:left w:val="single" w:sz="4" w:color="BFBFBF"/>
              <w:bottom w:val="single" w:sz="4" w:color="BFBFBF"/>
              <w:right w:val="single" w:sz="4" w:color="BFBFBF"/>
            </w:tcBorders>
            <w:vAlign w:val="center"/>
          </w:tcPr>
          <w:p>
            <w:r>
              <w:rPr>
                <w:rFonts w:ascii="Calibri" w:hAnsi="Calibri"/>
                <w:sz w:val="20"/>
              </w:rPr>
              <w:t>IAS 36</w:t>
            </w:r>
          </w:p>
        </w:tc>
        <w:tc>
          <w:tcPr>
            <w:tcW w:type="dxa" w:w="4252"/>
            <w:shd w:val="clear" w:color="auto" w:fill="F2F2F2"/>
            <w:tcBorders>
              <w:top w:val="single" w:sz="4" w:color="BFBFBF"/>
              <w:left w:val="single" w:sz="4" w:color="BFBFBF"/>
              <w:bottom w:val="single" w:sz="4" w:color="BFBFBF"/>
              <w:right w:val="single" w:sz="4" w:color="BFBFBF"/>
            </w:tcBorders>
            <w:vAlign w:val="center"/>
          </w:tcPr>
          <w:p>
            <w:r>
              <w:rPr>
                <w:rFonts w:ascii="Calibri" w:hAnsi="Calibri"/>
                <w:sz w:val="20"/>
              </w:rPr>
              <w:t>Dépréciation d'actifs (goodwill, immobilisations)</w:t>
            </w:r>
          </w:p>
        </w:tc>
        <w:tc>
          <w:tcPr>
            <w:tcW w:type="dxa" w:w="3402"/>
            <w:shd w:val="clear" w:color="auto" w:fill="F2F2F2"/>
            <w:tcBorders>
              <w:top w:val="single" w:sz="4" w:color="BFBFBF"/>
              <w:left w:val="single" w:sz="4" w:color="BFBFBF"/>
              <w:bottom w:val="single" w:sz="4" w:color="BFBFBF"/>
              <w:right w:val="single" w:sz="4" w:color="BFBFBF"/>
            </w:tcBorders>
            <w:vAlign w:val="center"/>
          </w:tcPr>
          <w:p>
            <w:r>
              <w:rPr>
                <w:rFonts w:ascii="Calibri" w:hAnsi="Calibri"/>
                <w:sz w:val="20"/>
              </w:rPr>
              <w:t>Tous, particulièrement M&amp;A</w:t>
            </w:r>
          </w:p>
        </w:tc>
      </w:tr>
      <w:tr>
        <w:tc>
          <w:tcPr>
            <w:tcW w:type="dxa" w:w="1417"/>
            <w:tcBorders>
              <w:top w:val="single" w:sz="4" w:color="BFBFBF"/>
              <w:left w:val="single" w:sz="4" w:color="BFBFBF"/>
              <w:bottom w:val="single" w:sz="4" w:color="BFBFBF"/>
              <w:right w:val="single" w:sz="4" w:color="BFBFBF"/>
            </w:tcBorders>
            <w:vAlign w:val="center"/>
          </w:tcPr>
          <w:p>
            <w:r>
              <w:rPr>
                <w:rFonts w:ascii="Calibri" w:hAnsi="Calibri"/>
                <w:sz w:val="20"/>
              </w:rPr>
              <w:t>IAS 37</w:t>
            </w:r>
          </w:p>
        </w:tc>
        <w:tc>
          <w:tcPr>
            <w:tcW w:type="dxa" w:w="4252"/>
            <w:tcBorders>
              <w:top w:val="single" w:sz="4" w:color="BFBFBF"/>
              <w:left w:val="single" w:sz="4" w:color="BFBFBF"/>
              <w:bottom w:val="single" w:sz="4" w:color="BFBFBF"/>
              <w:right w:val="single" w:sz="4" w:color="BFBFBF"/>
            </w:tcBorders>
            <w:vAlign w:val="center"/>
          </w:tcPr>
          <w:p>
            <w:r>
              <w:rPr>
                <w:rFonts w:ascii="Calibri" w:hAnsi="Calibri"/>
                <w:sz w:val="20"/>
              </w:rPr>
              <w:t>Provisions, passifs et actifs éventuels</w:t>
            </w:r>
          </w:p>
        </w:tc>
        <w:tc>
          <w:tcPr>
            <w:tcW w:type="dxa" w:w="3402"/>
            <w:tcBorders>
              <w:top w:val="single" w:sz="4" w:color="BFBFBF"/>
              <w:left w:val="single" w:sz="4" w:color="BFBFBF"/>
              <w:bottom w:val="single" w:sz="4" w:color="BFBFBF"/>
              <w:right w:val="single" w:sz="4" w:color="BFBFBF"/>
            </w:tcBorders>
            <w:vAlign w:val="center"/>
          </w:tcPr>
          <w:p>
            <w:r>
              <w:rPr>
                <w:rFonts w:ascii="Calibri" w:hAnsi="Calibri"/>
                <w:sz w:val="20"/>
              </w:rPr>
              <w:t>Tous, BTP, Litiges</w:t>
            </w:r>
          </w:p>
        </w:tc>
      </w:tr>
    </w:tbl>
    <w:p>
      <w:pPr>
        <w:spacing w:after="120"/>
      </w:pPr>
    </w:p>
    <w:p>
      <w:pPr>
        <w:pStyle w:val="Heading2"/>
        <w:spacing w:before="240" w:after="120"/>
      </w:pPr>
      <w:r>
        <w:rPr>
          <w:rFonts w:ascii="Calibri" w:hAnsi="Calibri"/>
          <w:b/>
          <w:color w:val="0A2540"/>
          <w:sz w:val="30"/>
        </w:rPr>
        <w:t>4.3 Cadre CIMA (Assurance)</w:t>
      </w:r>
    </w:p>
    <w:p>
      <w:pPr>
        <w:spacing w:before="0" w:after="120"/>
        <w:jc w:val="both"/>
      </w:pPr>
      <w:r>
        <w:rPr>
          <w:rFonts w:ascii="Calibri" w:hAnsi="Calibri"/>
          <w:b w:val="0"/>
          <w:i w:val="0"/>
          <w:color w:val="000000"/>
          <w:sz w:val="22"/>
        </w:rPr>
        <w:t>Le Code des Assurances CIMA (Conférence Interafricaine des Marchés d'Assurances) régit l'activité d'assurance dans 14 États d'Afrique francophone. Il impose un cadre prudentiel et technique strict que l'outil doit intégrer pour le secteur assurance.</w:t>
      </w:r>
    </w:p>
    <w:p>
      <w:pPr>
        <w:pStyle w:val="Heading4"/>
        <w:spacing w:before="180" w:after="120"/>
      </w:pPr>
      <w:r>
        <w:rPr>
          <w:rFonts w:ascii="Calibri" w:hAnsi="Calibri"/>
          <w:b/>
          <w:i/>
          <w:color w:val="595959"/>
          <w:sz w:val="24"/>
        </w:rPr>
        <w:t>Composantes du cadre CIMA</w:t>
      </w:r>
    </w:p>
    <w:p>
      <w:pPr>
        <w:pStyle w:val="ListBullet"/>
        <w:spacing w:after="60"/>
        <w:ind w:left="340"/>
      </w:pPr>
      <w:r>
        <w:rPr>
          <w:rFonts w:ascii="Calibri" w:hAnsi="Calibri"/>
          <w:sz w:val="22"/>
        </w:rPr>
        <w:t>Régime des provisions techniques : provisions mathématiques (Vie), provisions pour sinistres à payer (Non-Vie), provisions pour primes non acquises, provisions pour risques en cours</w:t>
      </w:r>
    </w:p>
    <w:p>
      <w:pPr>
        <w:pStyle w:val="ListBullet"/>
        <w:spacing w:after="60"/>
        <w:ind w:left="340"/>
      </w:pPr>
      <w:r>
        <w:rPr>
          <w:rFonts w:ascii="Calibri" w:hAnsi="Calibri"/>
          <w:sz w:val="22"/>
        </w:rPr>
        <w:t>Marge de solvabilité réglementaire : minimum exigé en fonction du chiffre d'affaires (Non-Vie) ou des provisions mathématiques (Vie)</w:t>
      </w:r>
    </w:p>
    <w:p>
      <w:pPr>
        <w:pStyle w:val="ListBullet"/>
        <w:spacing w:after="60"/>
        <w:ind w:left="340"/>
      </w:pPr>
      <w:r>
        <w:rPr>
          <w:rFonts w:ascii="Calibri" w:hAnsi="Calibri"/>
          <w:sz w:val="22"/>
        </w:rPr>
        <w:t>Capital minimum : 5 milliards FCFA pour les sociétés Vie, 5 milliards FCFA pour les sociétés Non-Vie (réforme 2019-2024)</w:t>
      </w:r>
    </w:p>
    <w:p>
      <w:pPr>
        <w:pStyle w:val="ListBullet"/>
        <w:spacing w:after="60"/>
        <w:ind w:left="340"/>
      </w:pPr>
      <w:r>
        <w:rPr>
          <w:rFonts w:ascii="Calibri" w:hAnsi="Calibri"/>
          <w:sz w:val="22"/>
        </w:rPr>
        <w:t>Cantonnement des placements admis en représentation des engagements réglementés</w:t>
      </w:r>
    </w:p>
    <w:p>
      <w:pPr>
        <w:pStyle w:val="ListBullet"/>
        <w:spacing w:after="60"/>
        <w:ind w:left="340"/>
      </w:pPr>
      <w:r>
        <w:rPr>
          <w:rFonts w:ascii="Calibri" w:hAnsi="Calibri"/>
          <w:sz w:val="22"/>
        </w:rPr>
        <w:t>Reporting trimestriel (états statistiques et comptables — ESC) et annuel détaillé</w:t>
      </w:r>
    </w:p>
    <w:p>
      <w:pPr>
        <w:pStyle w:val="ListBullet"/>
        <w:spacing w:after="60"/>
        <w:ind w:left="340"/>
      </w:pPr>
      <w:r>
        <w:rPr>
          <w:rFonts w:ascii="Calibri" w:hAnsi="Calibri"/>
          <w:sz w:val="22"/>
        </w:rPr>
        <w:t>Règlement Trésor exigible (RTE) : disponibilité immédiate pour règlement des sinistres</w:t>
      </w:r>
    </w:p>
    <w:p>
      <w:pPr>
        <w:pStyle w:val="Heading2"/>
        <w:spacing w:before="240" w:after="120"/>
      </w:pPr>
      <w:r>
        <w:rPr>
          <w:rFonts w:ascii="Calibri" w:hAnsi="Calibri"/>
          <w:b/>
          <w:color w:val="0A2540"/>
          <w:sz w:val="30"/>
        </w:rPr>
        <w:t>4.4 Cadre BCEAO / BEAC (Banque)</w:t>
      </w:r>
    </w:p>
    <w:p>
      <w:pPr>
        <w:spacing w:before="0" w:after="120"/>
        <w:jc w:val="both"/>
      </w:pPr>
      <w:r>
        <w:rPr>
          <w:rFonts w:ascii="Calibri" w:hAnsi="Calibri"/>
          <w:b w:val="0"/>
          <w:i w:val="0"/>
          <w:color w:val="000000"/>
          <w:sz w:val="22"/>
        </w:rPr>
        <w:t>Les banques de la zone UEMOA sont régies par la BCEAO et la Commission Bancaire de l'UMOA. Celles de la zone CEMAC par la BEAC et la COBAC. Les cadres prudentiels convergent vers Bâle II/III avec des adaptations.</w:t>
      </w:r>
    </w:p>
    <w:tbl>
      <w:tblPr>
        <w:tblW w:type="auto" w:w="0"/>
        <w:jc w:val="center"/>
        <w:tblLayout w:type="fixed"/>
        <w:tblLook w:firstColumn="1" w:firstRow="1" w:lastColumn="0" w:lastRow="0" w:noHBand="0" w:noVBand="1" w:val="04A0"/>
      </w:tblPr>
      <w:tblGrid>
        <w:gridCol w:w="3135"/>
        <w:gridCol w:w="3135"/>
        <w:gridCol w:w="3135"/>
      </w:tblGrid>
      <w:tr>
        <w:tc>
          <w:tcPr>
            <w:tcW w:type="dxa" w:w="2835"/>
            <w:shd w:val="clear" w:color="auto" w:fill="0A2540"/>
            <w:tcBorders>
              <w:top w:val="single" w:sz="4" w:color="BFBFBF"/>
              <w:left w:val="single" w:sz="4" w:color="BFBFBF"/>
              <w:bottom w:val="single" w:sz="4" w:color="BFBFBF"/>
              <w:right w:val="single" w:sz="4" w:color="BFBFBF"/>
            </w:tcBorders>
            <w:vAlign w:val="center"/>
          </w:tcPr>
          <w:p>
            <w:pPr>
              <w:jc w:val="center"/>
            </w:pPr>
            <w:r>
              <w:rPr>
                <w:rFonts w:ascii="Calibri" w:hAnsi="Calibri"/>
                <w:b/>
                <w:color w:val="FFFFFF"/>
                <w:sz w:val="20"/>
              </w:rPr>
              <w:t>Ratio prudentiel</w:t>
            </w:r>
          </w:p>
        </w:tc>
        <w:tc>
          <w:tcPr>
            <w:tcW w:type="dxa" w:w="3118"/>
            <w:shd w:val="clear" w:color="auto" w:fill="0A2540"/>
            <w:tcBorders>
              <w:top w:val="single" w:sz="4" w:color="BFBFBF"/>
              <w:left w:val="single" w:sz="4" w:color="BFBFBF"/>
              <w:bottom w:val="single" w:sz="4" w:color="BFBFBF"/>
              <w:right w:val="single" w:sz="4" w:color="BFBFBF"/>
            </w:tcBorders>
            <w:vAlign w:val="center"/>
          </w:tcPr>
          <w:p>
            <w:pPr>
              <w:jc w:val="center"/>
            </w:pPr>
            <w:r>
              <w:rPr>
                <w:rFonts w:ascii="Calibri" w:hAnsi="Calibri"/>
                <w:b/>
                <w:color w:val="FFFFFF"/>
                <w:sz w:val="20"/>
              </w:rPr>
              <w:t>Niveau réglementaire UEMOA</w:t>
            </w:r>
          </w:p>
        </w:tc>
        <w:tc>
          <w:tcPr>
            <w:tcW w:type="dxa" w:w="3685"/>
            <w:shd w:val="clear" w:color="auto" w:fill="0A2540"/>
            <w:tcBorders>
              <w:top w:val="single" w:sz="4" w:color="BFBFBF"/>
              <w:left w:val="single" w:sz="4" w:color="BFBFBF"/>
              <w:bottom w:val="single" w:sz="4" w:color="BFBFBF"/>
              <w:right w:val="single" w:sz="4" w:color="BFBFBF"/>
            </w:tcBorders>
            <w:vAlign w:val="center"/>
          </w:tcPr>
          <w:p>
            <w:pPr>
              <w:jc w:val="center"/>
            </w:pPr>
            <w:r>
              <w:rPr>
                <w:rFonts w:ascii="Calibri" w:hAnsi="Calibri"/>
                <w:b/>
                <w:color w:val="FFFFFF"/>
                <w:sz w:val="20"/>
              </w:rPr>
              <w:t>Norme Bâle III</w:t>
            </w:r>
          </w:p>
        </w:tc>
      </w:tr>
      <w:tr>
        <w:tc>
          <w:tcPr>
            <w:tcW w:type="dxa" w:w="2835"/>
            <w:tcBorders>
              <w:top w:val="single" w:sz="4" w:color="BFBFBF"/>
              <w:left w:val="single" w:sz="4" w:color="BFBFBF"/>
              <w:bottom w:val="single" w:sz="4" w:color="BFBFBF"/>
              <w:right w:val="single" w:sz="4" w:color="BFBFBF"/>
            </w:tcBorders>
            <w:vAlign w:val="center"/>
          </w:tcPr>
          <w:p>
            <w:r>
              <w:rPr>
                <w:rFonts w:ascii="Calibri" w:hAnsi="Calibri"/>
                <w:sz w:val="20"/>
              </w:rPr>
              <w:t>Solvabilité globale (CAR)</w:t>
            </w:r>
          </w:p>
        </w:tc>
        <w:tc>
          <w:tcPr>
            <w:tcW w:type="dxa" w:w="3118"/>
            <w:tcBorders>
              <w:top w:val="single" w:sz="4" w:color="BFBFBF"/>
              <w:left w:val="single" w:sz="4" w:color="BFBFBF"/>
              <w:bottom w:val="single" w:sz="4" w:color="BFBFBF"/>
              <w:right w:val="single" w:sz="4" w:color="BFBFBF"/>
            </w:tcBorders>
            <w:vAlign w:val="center"/>
          </w:tcPr>
          <w:p>
            <w:r>
              <w:rPr>
                <w:rFonts w:ascii="Calibri" w:hAnsi="Calibri"/>
                <w:sz w:val="20"/>
              </w:rPr>
              <w:t>≥ 11,5%</w:t>
            </w:r>
          </w:p>
        </w:tc>
        <w:tc>
          <w:tcPr>
            <w:tcW w:type="dxa" w:w="3685"/>
            <w:tcBorders>
              <w:top w:val="single" w:sz="4" w:color="BFBFBF"/>
              <w:left w:val="single" w:sz="4" w:color="BFBFBF"/>
              <w:bottom w:val="single" w:sz="4" w:color="BFBFBF"/>
              <w:right w:val="single" w:sz="4" w:color="BFBFBF"/>
            </w:tcBorders>
            <w:vAlign w:val="center"/>
          </w:tcPr>
          <w:p>
            <w:r>
              <w:rPr>
                <w:rFonts w:ascii="Calibri" w:hAnsi="Calibri"/>
                <w:sz w:val="20"/>
              </w:rPr>
              <w:t>≥ 10,5% (avec coussin conservation)</w:t>
            </w:r>
          </w:p>
        </w:tc>
      </w:tr>
      <w:tr>
        <w:tc>
          <w:tcPr>
            <w:tcW w:type="dxa" w:w="2835"/>
            <w:shd w:val="clear" w:color="auto" w:fill="F2F2F2"/>
            <w:tcBorders>
              <w:top w:val="single" w:sz="4" w:color="BFBFBF"/>
              <w:left w:val="single" w:sz="4" w:color="BFBFBF"/>
              <w:bottom w:val="single" w:sz="4" w:color="BFBFBF"/>
              <w:right w:val="single" w:sz="4" w:color="BFBFBF"/>
            </w:tcBorders>
            <w:vAlign w:val="center"/>
          </w:tcPr>
          <w:p>
            <w:r>
              <w:rPr>
                <w:rFonts w:ascii="Calibri" w:hAnsi="Calibri"/>
                <w:sz w:val="20"/>
              </w:rPr>
              <w:t>Tier 1 (CET1)</w:t>
            </w:r>
          </w:p>
        </w:tc>
        <w:tc>
          <w:tcPr>
            <w:tcW w:type="dxa" w:w="3118"/>
            <w:shd w:val="clear" w:color="auto" w:fill="F2F2F2"/>
            <w:tcBorders>
              <w:top w:val="single" w:sz="4" w:color="BFBFBF"/>
              <w:left w:val="single" w:sz="4" w:color="BFBFBF"/>
              <w:bottom w:val="single" w:sz="4" w:color="BFBFBF"/>
              <w:right w:val="single" w:sz="4" w:color="BFBFBF"/>
            </w:tcBorders>
            <w:vAlign w:val="center"/>
          </w:tcPr>
          <w:p>
            <w:r>
              <w:rPr>
                <w:rFonts w:ascii="Calibri" w:hAnsi="Calibri"/>
                <w:sz w:val="20"/>
              </w:rPr>
              <w:t>≥ 8,5%</w:t>
            </w:r>
          </w:p>
        </w:tc>
        <w:tc>
          <w:tcPr>
            <w:tcW w:type="dxa" w:w="3685"/>
            <w:shd w:val="clear" w:color="auto" w:fill="F2F2F2"/>
            <w:tcBorders>
              <w:top w:val="single" w:sz="4" w:color="BFBFBF"/>
              <w:left w:val="single" w:sz="4" w:color="BFBFBF"/>
              <w:bottom w:val="single" w:sz="4" w:color="BFBFBF"/>
              <w:right w:val="single" w:sz="4" w:color="BFBFBF"/>
            </w:tcBorders>
            <w:vAlign w:val="center"/>
          </w:tcPr>
          <w:p>
            <w:r>
              <w:rPr>
                <w:rFonts w:ascii="Calibri" w:hAnsi="Calibri"/>
                <w:sz w:val="20"/>
              </w:rPr>
              <w:t>≥ 7,0% (avec coussins)</w:t>
            </w:r>
          </w:p>
        </w:tc>
      </w:tr>
      <w:tr>
        <w:tc>
          <w:tcPr>
            <w:tcW w:type="dxa" w:w="2835"/>
            <w:tcBorders>
              <w:top w:val="single" w:sz="4" w:color="BFBFBF"/>
              <w:left w:val="single" w:sz="4" w:color="BFBFBF"/>
              <w:bottom w:val="single" w:sz="4" w:color="BFBFBF"/>
              <w:right w:val="single" w:sz="4" w:color="BFBFBF"/>
            </w:tcBorders>
            <w:vAlign w:val="center"/>
          </w:tcPr>
          <w:p>
            <w:r>
              <w:rPr>
                <w:rFonts w:ascii="Calibri" w:hAnsi="Calibri"/>
                <w:sz w:val="20"/>
              </w:rPr>
              <w:t>Ratio de levier</w:t>
            </w:r>
          </w:p>
        </w:tc>
        <w:tc>
          <w:tcPr>
            <w:tcW w:type="dxa" w:w="3118"/>
            <w:tcBorders>
              <w:top w:val="single" w:sz="4" w:color="BFBFBF"/>
              <w:left w:val="single" w:sz="4" w:color="BFBFBF"/>
              <w:bottom w:val="single" w:sz="4" w:color="BFBFBF"/>
              <w:right w:val="single" w:sz="4" w:color="BFBFBF"/>
            </w:tcBorders>
            <w:vAlign w:val="center"/>
          </w:tcPr>
          <w:p>
            <w:r>
              <w:rPr>
                <w:rFonts w:ascii="Calibri" w:hAnsi="Calibri"/>
                <w:sz w:val="20"/>
              </w:rPr>
              <w:t>≥ 3%</w:t>
            </w:r>
          </w:p>
        </w:tc>
        <w:tc>
          <w:tcPr>
            <w:tcW w:type="dxa" w:w="3685"/>
            <w:tcBorders>
              <w:top w:val="single" w:sz="4" w:color="BFBFBF"/>
              <w:left w:val="single" w:sz="4" w:color="BFBFBF"/>
              <w:bottom w:val="single" w:sz="4" w:color="BFBFBF"/>
              <w:right w:val="single" w:sz="4" w:color="BFBFBF"/>
            </w:tcBorders>
            <w:vAlign w:val="center"/>
          </w:tcPr>
          <w:p>
            <w:r>
              <w:rPr>
                <w:rFonts w:ascii="Calibri" w:hAnsi="Calibri"/>
                <w:sz w:val="20"/>
              </w:rPr>
              <w:t>≥ 3%</w:t>
            </w:r>
          </w:p>
        </w:tc>
      </w:tr>
      <w:tr>
        <w:tc>
          <w:tcPr>
            <w:tcW w:type="dxa" w:w="2835"/>
            <w:shd w:val="clear" w:color="auto" w:fill="F2F2F2"/>
            <w:tcBorders>
              <w:top w:val="single" w:sz="4" w:color="BFBFBF"/>
              <w:left w:val="single" w:sz="4" w:color="BFBFBF"/>
              <w:bottom w:val="single" w:sz="4" w:color="BFBFBF"/>
              <w:right w:val="single" w:sz="4" w:color="BFBFBF"/>
            </w:tcBorders>
            <w:vAlign w:val="center"/>
          </w:tcPr>
          <w:p>
            <w:r>
              <w:rPr>
                <w:rFonts w:ascii="Calibri" w:hAnsi="Calibri"/>
                <w:sz w:val="20"/>
              </w:rPr>
              <w:t>LCR (liquidité 30j)</w:t>
            </w:r>
          </w:p>
        </w:tc>
        <w:tc>
          <w:tcPr>
            <w:tcW w:type="dxa" w:w="3118"/>
            <w:shd w:val="clear" w:color="auto" w:fill="F2F2F2"/>
            <w:tcBorders>
              <w:top w:val="single" w:sz="4" w:color="BFBFBF"/>
              <w:left w:val="single" w:sz="4" w:color="BFBFBF"/>
              <w:bottom w:val="single" w:sz="4" w:color="BFBFBF"/>
              <w:right w:val="single" w:sz="4" w:color="BFBFBF"/>
            </w:tcBorders>
            <w:vAlign w:val="center"/>
          </w:tcPr>
          <w:p>
            <w:r>
              <w:rPr>
                <w:rFonts w:ascii="Calibri" w:hAnsi="Calibri"/>
                <w:sz w:val="20"/>
              </w:rPr>
              <w:t>≥ 100%</w:t>
            </w:r>
          </w:p>
        </w:tc>
        <w:tc>
          <w:tcPr>
            <w:tcW w:type="dxa" w:w="3685"/>
            <w:shd w:val="clear" w:color="auto" w:fill="F2F2F2"/>
            <w:tcBorders>
              <w:top w:val="single" w:sz="4" w:color="BFBFBF"/>
              <w:left w:val="single" w:sz="4" w:color="BFBFBF"/>
              <w:bottom w:val="single" w:sz="4" w:color="BFBFBF"/>
              <w:right w:val="single" w:sz="4" w:color="BFBFBF"/>
            </w:tcBorders>
            <w:vAlign w:val="center"/>
          </w:tcPr>
          <w:p>
            <w:r>
              <w:rPr>
                <w:rFonts w:ascii="Calibri" w:hAnsi="Calibri"/>
                <w:sz w:val="20"/>
              </w:rPr>
              <w:t>≥ 100%</w:t>
            </w:r>
          </w:p>
        </w:tc>
      </w:tr>
      <w:tr>
        <w:tc>
          <w:tcPr>
            <w:tcW w:type="dxa" w:w="2835"/>
            <w:tcBorders>
              <w:top w:val="single" w:sz="4" w:color="BFBFBF"/>
              <w:left w:val="single" w:sz="4" w:color="BFBFBF"/>
              <w:bottom w:val="single" w:sz="4" w:color="BFBFBF"/>
              <w:right w:val="single" w:sz="4" w:color="BFBFBF"/>
            </w:tcBorders>
            <w:vAlign w:val="center"/>
          </w:tcPr>
          <w:p>
            <w:r>
              <w:rPr>
                <w:rFonts w:ascii="Calibri" w:hAnsi="Calibri"/>
                <w:sz w:val="20"/>
              </w:rPr>
              <w:t>NSFR (financement stable)</w:t>
            </w:r>
          </w:p>
        </w:tc>
        <w:tc>
          <w:tcPr>
            <w:tcW w:type="dxa" w:w="3118"/>
            <w:tcBorders>
              <w:top w:val="single" w:sz="4" w:color="BFBFBF"/>
              <w:left w:val="single" w:sz="4" w:color="BFBFBF"/>
              <w:bottom w:val="single" w:sz="4" w:color="BFBFBF"/>
              <w:right w:val="single" w:sz="4" w:color="BFBFBF"/>
            </w:tcBorders>
            <w:vAlign w:val="center"/>
          </w:tcPr>
          <w:p>
            <w:r>
              <w:rPr>
                <w:rFonts w:ascii="Calibri" w:hAnsi="Calibri"/>
                <w:sz w:val="20"/>
              </w:rPr>
              <w:t>≥ 100%</w:t>
            </w:r>
          </w:p>
        </w:tc>
        <w:tc>
          <w:tcPr>
            <w:tcW w:type="dxa" w:w="3685"/>
            <w:tcBorders>
              <w:top w:val="single" w:sz="4" w:color="BFBFBF"/>
              <w:left w:val="single" w:sz="4" w:color="BFBFBF"/>
              <w:bottom w:val="single" w:sz="4" w:color="BFBFBF"/>
              <w:right w:val="single" w:sz="4" w:color="BFBFBF"/>
            </w:tcBorders>
            <w:vAlign w:val="center"/>
          </w:tcPr>
          <w:p>
            <w:r>
              <w:rPr>
                <w:rFonts w:ascii="Calibri" w:hAnsi="Calibri"/>
                <w:sz w:val="20"/>
              </w:rPr>
              <w:t>≥ 100%</w:t>
            </w:r>
          </w:p>
        </w:tc>
      </w:tr>
      <w:tr>
        <w:tc>
          <w:tcPr>
            <w:tcW w:type="dxa" w:w="2835"/>
            <w:shd w:val="clear" w:color="auto" w:fill="F2F2F2"/>
            <w:tcBorders>
              <w:top w:val="single" w:sz="4" w:color="BFBFBF"/>
              <w:left w:val="single" w:sz="4" w:color="BFBFBF"/>
              <w:bottom w:val="single" w:sz="4" w:color="BFBFBF"/>
              <w:right w:val="single" w:sz="4" w:color="BFBFBF"/>
            </w:tcBorders>
            <w:vAlign w:val="center"/>
          </w:tcPr>
          <w:p>
            <w:r>
              <w:rPr>
                <w:rFonts w:ascii="Calibri" w:hAnsi="Calibri"/>
                <w:sz w:val="20"/>
              </w:rPr>
              <w:t>Limite grand risque</w:t>
            </w:r>
          </w:p>
        </w:tc>
        <w:tc>
          <w:tcPr>
            <w:tcW w:type="dxa" w:w="3118"/>
            <w:shd w:val="clear" w:color="auto" w:fill="F2F2F2"/>
            <w:tcBorders>
              <w:top w:val="single" w:sz="4" w:color="BFBFBF"/>
              <w:left w:val="single" w:sz="4" w:color="BFBFBF"/>
              <w:bottom w:val="single" w:sz="4" w:color="BFBFBF"/>
              <w:right w:val="single" w:sz="4" w:color="BFBFBF"/>
            </w:tcBorders>
            <w:vAlign w:val="center"/>
          </w:tcPr>
          <w:p>
            <w:r>
              <w:rPr>
                <w:rFonts w:ascii="Calibri" w:hAnsi="Calibri"/>
                <w:sz w:val="20"/>
              </w:rPr>
              <w:t>≤ 25% des FP</w:t>
            </w:r>
          </w:p>
        </w:tc>
        <w:tc>
          <w:tcPr>
            <w:tcW w:type="dxa" w:w="3685"/>
            <w:shd w:val="clear" w:color="auto" w:fill="F2F2F2"/>
            <w:tcBorders>
              <w:top w:val="single" w:sz="4" w:color="BFBFBF"/>
              <w:left w:val="single" w:sz="4" w:color="BFBFBF"/>
              <w:bottom w:val="single" w:sz="4" w:color="BFBFBF"/>
              <w:right w:val="single" w:sz="4" w:color="BFBFBF"/>
            </w:tcBorders>
            <w:vAlign w:val="center"/>
          </w:tcPr>
          <w:p>
            <w:r>
              <w:rPr>
                <w:rFonts w:ascii="Calibri" w:hAnsi="Calibri"/>
                <w:sz w:val="20"/>
              </w:rPr>
              <w:t>≤ 25% Tier 1</w:t>
            </w:r>
          </w:p>
        </w:tc>
      </w:tr>
      <w:tr>
        <w:tc>
          <w:tcPr>
            <w:tcW w:type="dxa" w:w="2835"/>
            <w:tcBorders>
              <w:top w:val="single" w:sz="4" w:color="BFBFBF"/>
              <w:left w:val="single" w:sz="4" w:color="BFBFBF"/>
              <w:bottom w:val="single" w:sz="4" w:color="BFBFBF"/>
              <w:right w:val="single" w:sz="4" w:color="BFBFBF"/>
            </w:tcBorders>
            <w:vAlign w:val="center"/>
          </w:tcPr>
          <w:p>
            <w:r>
              <w:rPr>
                <w:rFonts w:ascii="Calibri" w:hAnsi="Calibri"/>
                <w:sz w:val="20"/>
              </w:rPr>
              <w:t>Réserves obligatoires BCEAO</w:t>
            </w:r>
          </w:p>
        </w:tc>
        <w:tc>
          <w:tcPr>
            <w:tcW w:type="dxa" w:w="3118"/>
            <w:tcBorders>
              <w:top w:val="single" w:sz="4" w:color="BFBFBF"/>
              <w:left w:val="single" w:sz="4" w:color="BFBFBF"/>
              <w:bottom w:val="single" w:sz="4" w:color="BFBFBF"/>
              <w:right w:val="single" w:sz="4" w:color="BFBFBF"/>
            </w:tcBorders>
            <w:vAlign w:val="center"/>
          </w:tcPr>
          <w:p>
            <w:r>
              <w:rPr>
                <w:rFonts w:ascii="Calibri" w:hAnsi="Calibri"/>
                <w:sz w:val="20"/>
              </w:rPr>
              <w:t>3% des dépôts à vue</w:t>
            </w:r>
          </w:p>
        </w:tc>
        <w:tc>
          <w:tcPr>
            <w:tcW w:type="dxa" w:w="3685"/>
            <w:tcBorders>
              <w:top w:val="single" w:sz="4" w:color="BFBFBF"/>
              <w:left w:val="single" w:sz="4" w:color="BFBFBF"/>
              <w:bottom w:val="single" w:sz="4" w:color="BFBFBF"/>
              <w:right w:val="single" w:sz="4" w:color="BFBFBF"/>
            </w:tcBorders>
            <w:vAlign w:val="center"/>
          </w:tcPr>
          <w:p>
            <w:r>
              <w:rPr>
                <w:rFonts w:ascii="Calibri" w:hAnsi="Calibri"/>
                <w:sz w:val="20"/>
              </w:rPr>
              <w:t>—</w:t>
            </w:r>
          </w:p>
        </w:tc>
      </w:tr>
    </w:tbl>
    <w:p>
      <w:pPr>
        <w:spacing w:after="120"/>
      </w:pPr>
    </w:p>
    <w:p>
      <w:pPr>
        <w:pStyle w:val="Heading2"/>
        <w:spacing w:before="240" w:after="120"/>
      </w:pPr>
      <w:r>
        <w:rPr>
          <w:rFonts w:ascii="Calibri" w:hAnsi="Calibri"/>
          <w:b/>
          <w:color w:val="0A2540"/>
          <w:sz w:val="30"/>
        </w:rPr>
        <w:t>4.5 Fiscalité comparée UEMOA / CEMAC / International</w:t>
      </w:r>
    </w:p>
    <w:tbl>
      <w:tblPr>
        <w:tblW w:type="auto" w:w="0"/>
        <w:jc w:val="center"/>
        <w:tblLayout w:type="fixed"/>
        <w:tblLook w:firstColumn="1" w:firstRow="1" w:lastColumn="0" w:lastRow="0" w:noHBand="0" w:noVBand="1" w:val="04A0"/>
      </w:tblPr>
      <w:tblGrid>
        <w:gridCol w:w="1881"/>
        <w:gridCol w:w="1881"/>
        <w:gridCol w:w="1881"/>
        <w:gridCol w:w="1881"/>
        <w:gridCol w:w="1881"/>
      </w:tblGrid>
      <w:tr>
        <w:tc>
          <w:tcPr>
            <w:tcW w:type="dxa" w:w="2551"/>
            <w:shd w:val="clear" w:color="auto" w:fill="0A2540"/>
            <w:tcBorders>
              <w:top w:val="single" w:sz="4" w:color="BFBFBF"/>
              <w:left w:val="single" w:sz="4" w:color="BFBFBF"/>
              <w:bottom w:val="single" w:sz="4" w:color="BFBFBF"/>
              <w:right w:val="single" w:sz="4" w:color="BFBFBF"/>
            </w:tcBorders>
            <w:vAlign w:val="center"/>
          </w:tcPr>
          <w:p>
            <w:pPr>
              <w:jc w:val="center"/>
            </w:pPr>
            <w:r>
              <w:rPr>
                <w:rFonts w:ascii="Calibri" w:hAnsi="Calibri"/>
                <w:b/>
                <w:color w:val="FFFFFF"/>
                <w:sz w:val="20"/>
              </w:rPr>
              <w:t>Impôt</w:t>
            </w:r>
          </w:p>
        </w:tc>
        <w:tc>
          <w:tcPr>
            <w:tcW w:type="dxa" w:w="1701"/>
            <w:shd w:val="clear" w:color="auto" w:fill="0A2540"/>
            <w:tcBorders>
              <w:top w:val="single" w:sz="4" w:color="BFBFBF"/>
              <w:left w:val="single" w:sz="4" w:color="BFBFBF"/>
              <w:bottom w:val="single" w:sz="4" w:color="BFBFBF"/>
              <w:right w:val="single" w:sz="4" w:color="BFBFBF"/>
            </w:tcBorders>
            <w:vAlign w:val="center"/>
          </w:tcPr>
          <w:p>
            <w:pPr>
              <w:jc w:val="center"/>
            </w:pPr>
            <w:r>
              <w:rPr>
                <w:rFonts w:ascii="Calibri" w:hAnsi="Calibri"/>
                <w:b/>
                <w:color w:val="FFFFFF"/>
                <w:sz w:val="20"/>
              </w:rPr>
              <w:t>UEMOA (moyenne)</w:t>
            </w:r>
          </w:p>
        </w:tc>
        <w:tc>
          <w:tcPr>
            <w:tcW w:type="dxa" w:w="1701"/>
            <w:shd w:val="clear" w:color="auto" w:fill="0A2540"/>
            <w:tcBorders>
              <w:top w:val="single" w:sz="4" w:color="BFBFBF"/>
              <w:left w:val="single" w:sz="4" w:color="BFBFBF"/>
              <w:bottom w:val="single" w:sz="4" w:color="BFBFBF"/>
              <w:right w:val="single" w:sz="4" w:color="BFBFBF"/>
            </w:tcBorders>
            <w:vAlign w:val="center"/>
          </w:tcPr>
          <w:p>
            <w:pPr>
              <w:jc w:val="center"/>
            </w:pPr>
            <w:r>
              <w:rPr>
                <w:rFonts w:ascii="Calibri" w:hAnsi="Calibri"/>
                <w:b/>
                <w:color w:val="FFFFFF"/>
                <w:sz w:val="20"/>
              </w:rPr>
              <w:t>CEMAC (moyenne)</w:t>
            </w:r>
          </w:p>
        </w:tc>
        <w:tc>
          <w:tcPr>
            <w:tcW w:type="dxa" w:w="1417"/>
            <w:shd w:val="clear" w:color="auto" w:fill="0A2540"/>
            <w:tcBorders>
              <w:top w:val="single" w:sz="4" w:color="BFBFBF"/>
              <w:left w:val="single" w:sz="4" w:color="BFBFBF"/>
              <w:bottom w:val="single" w:sz="4" w:color="BFBFBF"/>
              <w:right w:val="single" w:sz="4" w:color="BFBFBF"/>
            </w:tcBorders>
            <w:vAlign w:val="center"/>
          </w:tcPr>
          <w:p>
            <w:pPr>
              <w:jc w:val="center"/>
            </w:pPr>
            <w:r>
              <w:rPr>
                <w:rFonts w:ascii="Calibri" w:hAnsi="Calibri"/>
                <w:b/>
                <w:color w:val="FFFFFF"/>
                <w:sz w:val="20"/>
              </w:rPr>
              <w:t>France</w:t>
            </w:r>
          </w:p>
        </w:tc>
        <w:tc>
          <w:tcPr>
            <w:tcW w:type="dxa" w:w="1417"/>
            <w:shd w:val="clear" w:color="auto" w:fill="0A2540"/>
            <w:tcBorders>
              <w:top w:val="single" w:sz="4" w:color="BFBFBF"/>
              <w:left w:val="single" w:sz="4" w:color="BFBFBF"/>
              <w:bottom w:val="single" w:sz="4" w:color="BFBFBF"/>
              <w:right w:val="single" w:sz="4" w:color="BFBFBF"/>
            </w:tcBorders>
            <w:vAlign w:val="center"/>
          </w:tcPr>
          <w:p>
            <w:pPr>
              <w:jc w:val="center"/>
            </w:pPr>
            <w:r>
              <w:rPr>
                <w:rFonts w:ascii="Calibri" w:hAnsi="Calibri"/>
                <w:b/>
                <w:color w:val="FFFFFF"/>
                <w:sz w:val="20"/>
              </w:rPr>
              <w:t>USA</w:t>
            </w:r>
          </w:p>
        </w:tc>
      </w:tr>
      <w:tr>
        <w:tc>
          <w:tcPr>
            <w:tcW w:type="dxa" w:w="2551"/>
            <w:tcBorders>
              <w:top w:val="single" w:sz="4" w:color="BFBFBF"/>
              <w:left w:val="single" w:sz="4" w:color="BFBFBF"/>
              <w:bottom w:val="single" w:sz="4" w:color="BFBFBF"/>
              <w:right w:val="single" w:sz="4" w:color="BFBFBF"/>
            </w:tcBorders>
            <w:vAlign w:val="center"/>
          </w:tcPr>
          <w:p>
            <w:r>
              <w:rPr>
                <w:rFonts w:ascii="Calibri" w:hAnsi="Calibri"/>
                <w:sz w:val="20"/>
              </w:rPr>
              <w:t>Impôt sur les sociétés (IS)</w:t>
            </w:r>
          </w:p>
        </w:tc>
        <w:tc>
          <w:tcPr>
            <w:tcW w:type="dxa" w:w="1701"/>
            <w:tcBorders>
              <w:top w:val="single" w:sz="4" w:color="BFBFBF"/>
              <w:left w:val="single" w:sz="4" w:color="BFBFBF"/>
              <w:bottom w:val="single" w:sz="4" w:color="BFBFBF"/>
              <w:right w:val="single" w:sz="4" w:color="BFBFBF"/>
            </w:tcBorders>
            <w:vAlign w:val="center"/>
          </w:tcPr>
          <w:p>
            <w:r>
              <w:rPr>
                <w:rFonts w:ascii="Calibri" w:hAnsi="Calibri"/>
                <w:sz w:val="20"/>
              </w:rPr>
              <w:t>25-30%</w:t>
            </w:r>
          </w:p>
        </w:tc>
        <w:tc>
          <w:tcPr>
            <w:tcW w:type="dxa" w:w="1701"/>
            <w:tcBorders>
              <w:top w:val="single" w:sz="4" w:color="BFBFBF"/>
              <w:left w:val="single" w:sz="4" w:color="BFBFBF"/>
              <w:bottom w:val="single" w:sz="4" w:color="BFBFBF"/>
              <w:right w:val="single" w:sz="4" w:color="BFBFBF"/>
            </w:tcBorders>
            <w:vAlign w:val="center"/>
          </w:tcPr>
          <w:p>
            <w:r>
              <w:rPr>
                <w:rFonts w:ascii="Calibri" w:hAnsi="Calibri"/>
                <w:sz w:val="20"/>
              </w:rPr>
              <w:t>28-35%</w:t>
            </w:r>
          </w:p>
        </w:tc>
        <w:tc>
          <w:tcPr>
            <w:tcW w:type="dxa" w:w="1417"/>
            <w:tcBorders>
              <w:top w:val="single" w:sz="4" w:color="BFBFBF"/>
              <w:left w:val="single" w:sz="4" w:color="BFBFBF"/>
              <w:bottom w:val="single" w:sz="4" w:color="BFBFBF"/>
              <w:right w:val="single" w:sz="4" w:color="BFBFBF"/>
            </w:tcBorders>
            <w:vAlign w:val="center"/>
          </w:tcPr>
          <w:p>
            <w:r>
              <w:rPr>
                <w:rFonts w:ascii="Calibri" w:hAnsi="Calibri"/>
                <w:sz w:val="20"/>
              </w:rPr>
              <w:t>25%</w:t>
            </w:r>
          </w:p>
        </w:tc>
        <w:tc>
          <w:tcPr>
            <w:tcW w:type="dxa" w:w="1417"/>
            <w:tcBorders>
              <w:top w:val="single" w:sz="4" w:color="BFBFBF"/>
              <w:left w:val="single" w:sz="4" w:color="BFBFBF"/>
              <w:bottom w:val="single" w:sz="4" w:color="BFBFBF"/>
              <w:right w:val="single" w:sz="4" w:color="BFBFBF"/>
            </w:tcBorders>
            <w:vAlign w:val="center"/>
          </w:tcPr>
          <w:p>
            <w:r>
              <w:rPr>
                <w:rFonts w:ascii="Calibri" w:hAnsi="Calibri"/>
                <w:sz w:val="20"/>
              </w:rPr>
              <w:t>21% fédéral</w:t>
            </w:r>
          </w:p>
        </w:tc>
      </w:tr>
      <w:tr>
        <w:tc>
          <w:tcPr>
            <w:tcW w:type="dxa" w:w="2551"/>
            <w:shd w:val="clear" w:color="auto" w:fill="F2F2F2"/>
            <w:tcBorders>
              <w:top w:val="single" w:sz="4" w:color="BFBFBF"/>
              <w:left w:val="single" w:sz="4" w:color="BFBFBF"/>
              <w:bottom w:val="single" w:sz="4" w:color="BFBFBF"/>
              <w:right w:val="single" w:sz="4" w:color="BFBFBF"/>
            </w:tcBorders>
            <w:vAlign w:val="center"/>
          </w:tcPr>
          <w:p>
            <w:r>
              <w:rPr>
                <w:rFonts w:ascii="Calibri" w:hAnsi="Calibri"/>
                <w:sz w:val="20"/>
              </w:rPr>
              <w:t>TVA standard</w:t>
            </w:r>
          </w:p>
        </w:tc>
        <w:tc>
          <w:tcPr>
            <w:tcW w:type="dxa" w:w="1701"/>
            <w:shd w:val="clear" w:color="auto" w:fill="F2F2F2"/>
            <w:tcBorders>
              <w:top w:val="single" w:sz="4" w:color="BFBFBF"/>
              <w:left w:val="single" w:sz="4" w:color="BFBFBF"/>
              <w:bottom w:val="single" w:sz="4" w:color="BFBFBF"/>
              <w:right w:val="single" w:sz="4" w:color="BFBFBF"/>
            </w:tcBorders>
            <w:vAlign w:val="center"/>
          </w:tcPr>
          <w:p>
            <w:r>
              <w:rPr>
                <w:rFonts w:ascii="Calibri" w:hAnsi="Calibri"/>
                <w:sz w:val="20"/>
              </w:rPr>
              <w:t>18%</w:t>
            </w:r>
          </w:p>
        </w:tc>
        <w:tc>
          <w:tcPr>
            <w:tcW w:type="dxa" w:w="1701"/>
            <w:shd w:val="clear" w:color="auto" w:fill="F2F2F2"/>
            <w:tcBorders>
              <w:top w:val="single" w:sz="4" w:color="BFBFBF"/>
              <w:left w:val="single" w:sz="4" w:color="BFBFBF"/>
              <w:bottom w:val="single" w:sz="4" w:color="BFBFBF"/>
              <w:right w:val="single" w:sz="4" w:color="BFBFBF"/>
            </w:tcBorders>
            <w:vAlign w:val="center"/>
          </w:tcPr>
          <w:p>
            <w:r>
              <w:rPr>
                <w:rFonts w:ascii="Calibri" w:hAnsi="Calibri"/>
                <w:sz w:val="20"/>
              </w:rPr>
              <w:t>18-19,25%</w:t>
            </w:r>
          </w:p>
        </w:tc>
        <w:tc>
          <w:tcPr>
            <w:tcW w:type="dxa" w:w="1417"/>
            <w:shd w:val="clear" w:color="auto" w:fill="F2F2F2"/>
            <w:tcBorders>
              <w:top w:val="single" w:sz="4" w:color="BFBFBF"/>
              <w:left w:val="single" w:sz="4" w:color="BFBFBF"/>
              <w:bottom w:val="single" w:sz="4" w:color="BFBFBF"/>
              <w:right w:val="single" w:sz="4" w:color="BFBFBF"/>
            </w:tcBorders>
            <w:vAlign w:val="center"/>
          </w:tcPr>
          <w:p>
            <w:r>
              <w:rPr>
                <w:rFonts w:ascii="Calibri" w:hAnsi="Calibri"/>
                <w:sz w:val="20"/>
              </w:rPr>
              <w:t>20%</w:t>
            </w:r>
          </w:p>
        </w:tc>
        <w:tc>
          <w:tcPr>
            <w:tcW w:type="dxa" w:w="1417"/>
            <w:shd w:val="clear" w:color="auto" w:fill="F2F2F2"/>
            <w:tcBorders>
              <w:top w:val="single" w:sz="4" w:color="BFBFBF"/>
              <w:left w:val="single" w:sz="4" w:color="BFBFBF"/>
              <w:bottom w:val="single" w:sz="4" w:color="BFBFBF"/>
              <w:right w:val="single" w:sz="4" w:color="BFBFBF"/>
            </w:tcBorders>
            <w:vAlign w:val="center"/>
          </w:tcPr>
          <w:p>
            <w:r>
              <w:rPr>
                <w:rFonts w:ascii="Calibri" w:hAnsi="Calibri"/>
                <w:sz w:val="20"/>
              </w:rPr>
              <w:t>Sales tax variable</w:t>
            </w:r>
          </w:p>
        </w:tc>
      </w:tr>
      <w:tr>
        <w:tc>
          <w:tcPr>
            <w:tcW w:type="dxa" w:w="2551"/>
            <w:tcBorders>
              <w:top w:val="single" w:sz="4" w:color="BFBFBF"/>
              <w:left w:val="single" w:sz="4" w:color="BFBFBF"/>
              <w:bottom w:val="single" w:sz="4" w:color="BFBFBF"/>
              <w:right w:val="single" w:sz="4" w:color="BFBFBF"/>
            </w:tcBorders>
            <w:vAlign w:val="center"/>
          </w:tcPr>
          <w:p>
            <w:r>
              <w:rPr>
                <w:rFonts w:ascii="Calibri" w:hAnsi="Calibri"/>
                <w:sz w:val="20"/>
              </w:rPr>
              <w:t>Retenue à la source dividendes</w:t>
            </w:r>
          </w:p>
        </w:tc>
        <w:tc>
          <w:tcPr>
            <w:tcW w:type="dxa" w:w="1701"/>
            <w:tcBorders>
              <w:top w:val="single" w:sz="4" w:color="BFBFBF"/>
              <w:left w:val="single" w:sz="4" w:color="BFBFBF"/>
              <w:bottom w:val="single" w:sz="4" w:color="BFBFBF"/>
              <w:right w:val="single" w:sz="4" w:color="BFBFBF"/>
            </w:tcBorders>
            <w:vAlign w:val="center"/>
          </w:tcPr>
          <w:p>
            <w:r>
              <w:rPr>
                <w:rFonts w:ascii="Calibri" w:hAnsi="Calibri"/>
                <w:sz w:val="20"/>
              </w:rPr>
              <w:t>10-15%</w:t>
            </w:r>
          </w:p>
        </w:tc>
        <w:tc>
          <w:tcPr>
            <w:tcW w:type="dxa" w:w="1701"/>
            <w:tcBorders>
              <w:top w:val="single" w:sz="4" w:color="BFBFBF"/>
              <w:left w:val="single" w:sz="4" w:color="BFBFBF"/>
              <w:bottom w:val="single" w:sz="4" w:color="BFBFBF"/>
              <w:right w:val="single" w:sz="4" w:color="BFBFBF"/>
            </w:tcBorders>
            <w:vAlign w:val="center"/>
          </w:tcPr>
          <w:p>
            <w:r>
              <w:rPr>
                <w:rFonts w:ascii="Calibri" w:hAnsi="Calibri"/>
                <w:sz w:val="20"/>
              </w:rPr>
              <w:t>15-20%</w:t>
            </w:r>
          </w:p>
        </w:tc>
        <w:tc>
          <w:tcPr>
            <w:tcW w:type="dxa" w:w="1417"/>
            <w:tcBorders>
              <w:top w:val="single" w:sz="4" w:color="BFBFBF"/>
              <w:left w:val="single" w:sz="4" w:color="BFBFBF"/>
              <w:bottom w:val="single" w:sz="4" w:color="BFBFBF"/>
              <w:right w:val="single" w:sz="4" w:color="BFBFBF"/>
            </w:tcBorders>
            <w:vAlign w:val="center"/>
          </w:tcPr>
          <w:p>
            <w:r>
              <w:rPr>
                <w:rFonts w:ascii="Calibri" w:hAnsi="Calibri"/>
                <w:sz w:val="20"/>
              </w:rPr>
              <w:t>30%</w:t>
            </w:r>
          </w:p>
        </w:tc>
        <w:tc>
          <w:tcPr>
            <w:tcW w:type="dxa" w:w="1417"/>
            <w:tcBorders>
              <w:top w:val="single" w:sz="4" w:color="BFBFBF"/>
              <w:left w:val="single" w:sz="4" w:color="BFBFBF"/>
              <w:bottom w:val="single" w:sz="4" w:color="BFBFBF"/>
              <w:right w:val="single" w:sz="4" w:color="BFBFBF"/>
            </w:tcBorders>
            <w:vAlign w:val="center"/>
          </w:tcPr>
          <w:p>
            <w:r>
              <w:rPr>
                <w:rFonts w:ascii="Calibri" w:hAnsi="Calibri"/>
                <w:sz w:val="20"/>
              </w:rPr>
              <w:t>30% (sauf treaty)</w:t>
            </w:r>
          </w:p>
        </w:tc>
      </w:tr>
      <w:tr>
        <w:tc>
          <w:tcPr>
            <w:tcW w:type="dxa" w:w="2551"/>
            <w:shd w:val="clear" w:color="auto" w:fill="F2F2F2"/>
            <w:tcBorders>
              <w:top w:val="single" w:sz="4" w:color="BFBFBF"/>
              <w:left w:val="single" w:sz="4" w:color="BFBFBF"/>
              <w:bottom w:val="single" w:sz="4" w:color="BFBFBF"/>
              <w:right w:val="single" w:sz="4" w:color="BFBFBF"/>
            </w:tcBorders>
            <w:vAlign w:val="center"/>
          </w:tcPr>
          <w:p>
            <w:r>
              <w:rPr>
                <w:rFonts w:ascii="Calibri" w:hAnsi="Calibri"/>
                <w:sz w:val="20"/>
              </w:rPr>
              <w:t>Retenue services non-rés.</w:t>
            </w:r>
          </w:p>
        </w:tc>
        <w:tc>
          <w:tcPr>
            <w:tcW w:type="dxa" w:w="1701"/>
            <w:shd w:val="clear" w:color="auto" w:fill="F2F2F2"/>
            <w:tcBorders>
              <w:top w:val="single" w:sz="4" w:color="BFBFBF"/>
              <w:left w:val="single" w:sz="4" w:color="BFBFBF"/>
              <w:bottom w:val="single" w:sz="4" w:color="BFBFBF"/>
              <w:right w:val="single" w:sz="4" w:color="BFBFBF"/>
            </w:tcBorders>
            <w:vAlign w:val="center"/>
          </w:tcPr>
          <w:p>
            <w:r>
              <w:rPr>
                <w:rFonts w:ascii="Calibri" w:hAnsi="Calibri"/>
                <w:sz w:val="20"/>
              </w:rPr>
              <w:t>10-25%</w:t>
            </w:r>
          </w:p>
        </w:tc>
        <w:tc>
          <w:tcPr>
            <w:tcW w:type="dxa" w:w="1701"/>
            <w:shd w:val="clear" w:color="auto" w:fill="F2F2F2"/>
            <w:tcBorders>
              <w:top w:val="single" w:sz="4" w:color="BFBFBF"/>
              <w:left w:val="single" w:sz="4" w:color="BFBFBF"/>
              <w:bottom w:val="single" w:sz="4" w:color="BFBFBF"/>
              <w:right w:val="single" w:sz="4" w:color="BFBFBF"/>
            </w:tcBorders>
            <w:vAlign w:val="center"/>
          </w:tcPr>
          <w:p>
            <w:r>
              <w:rPr>
                <w:rFonts w:ascii="Calibri" w:hAnsi="Calibri"/>
                <w:sz w:val="20"/>
              </w:rPr>
              <w:t>15-25%</w:t>
            </w:r>
          </w:p>
        </w:tc>
        <w:tc>
          <w:tcPr>
            <w:tcW w:type="dxa" w:w="1417"/>
            <w:shd w:val="clear" w:color="auto" w:fill="F2F2F2"/>
            <w:tcBorders>
              <w:top w:val="single" w:sz="4" w:color="BFBFBF"/>
              <w:left w:val="single" w:sz="4" w:color="BFBFBF"/>
              <w:bottom w:val="single" w:sz="4" w:color="BFBFBF"/>
              <w:right w:val="single" w:sz="4" w:color="BFBFBF"/>
            </w:tcBorders>
            <w:vAlign w:val="center"/>
          </w:tcPr>
          <w:p>
            <w:r>
              <w:rPr>
                <w:rFonts w:ascii="Calibri" w:hAnsi="Calibri"/>
                <w:sz w:val="20"/>
              </w:rPr>
              <w:t>—</w:t>
            </w:r>
          </w:p>
        </w:tc>
        <w:tc>
          <w:tcPr>
            <w:tcW w:type="dxa" w:w="1417"/>
            <w:shd w:val="clear" w:color="auto" w:fill="F2F2F2"/>
            <w:tcBorders>
              <w:top w:val="single" w:sz="4" w:color="BFBFBF"/>
              <w:left w:val="single" w:sz="4" w:color="BFBFBF"/>
              <w:bottom w:val="single" w:sz="4" w:color="BFBFBF"/>
              <w:right w:val="single" w:sz="4" w:color="BFBFBF"/>
            </w:tcBorders>
            <w:vAlign w:val="center"/>
          </w:tcPr>
          <w:p>
            <w:r>
              <w:rPr>
                <w:rFonts w:ascii="Calibri" w:hAnsi="Calibri"/>
                <w:sz w:val="20"/>
              </w:rPr>
              <w:t>30%</w:t>
            </w:r>
          </w:p>
        </w:tc>
      </w:tr>
      <w:tr>
        <w:tc>
          <w:tcPr>
            <w:tcW w:type="dxa" w:w="2551"/>
            <w:tcBorders>
              <w:top w:val="single" w:sz="4" w:color="BFBFBF"/>
              <w:left w:val="single" w:sz="4" w:color="BFBFBF"/>
              <w:bottom w:val="single" w:sz="4" w:color="BFBFBF"/>
              <w:right w:val="single" w:sz="4" w:color="BFBFBF"/>
            </w:tcBorders>
            <w:vAlign w:val="center"/>
          </w:tcPr>
          <w:p>
            <w:r>
              <w:rPr>
                <w:rFonts w:ascii="Calibri" w:hAnsi="Calibri"/>
                <w:sz w:val="20"/>
              </w:rPr>
              <w:t>Patente / impôt sur le BIC</w:t>
            </w:r>
          </w:p>
        </w:tc>
        <w:tc>
          <w:tcPr>
            <w:tcW w:type="dxa" w:w="1701"/>
            <w:tcBorders>
              <w:top w:val="single" w:sz="4" w:color="BFBFBF"/>
              <w:left w:val="single" w:sz="4" w:color="BFBFBF"/>
              <w:bottom w:val="single" w:sz="4" w:color="BFBFBF"/>
              <w:right w:val="single" w:sz="4" w:color="BFBFBF"/>
            </w:tcBorders>
            <w:vAlign w:val="center"/>
          </w:tcPr>
          <w:p>
            <w:r>
              <w:rPr>
                <w:rFonts w:ascii="Calibri" w:hAnsi="Calibri"/>
                <w:sz w:val="20"/>
              </w:rPr>
              <w:t>Variable</w:t>
            </w:r>
          </w:p>
        </w:tc>
        <w:tc>
          <w:tcPr>
            <w:tcW w:type="dxa" w:w="1701"/>
            <w:tcBorders>
              <w:top w:val="single" w:sz="4" w:color="BFBFBF"/>
              <w:left w:val="single" w:sz="4" w:color="BFBFBF"/>
              <w:bottom w:val="single" w:sz="4" w:color="BFBFBF"/>
              <w:right w:val="single" w:sz="4" w:color="BFBFBF"/>
            </w:tcBorders>
            <w:vAlign w:val="center"/>
          </w:tcPr>
          <w:p>
            <w:r>
              <w:rPr>
                <w:rFonts w:ascii="Calibri" w:hAnsi="Calibri"/>
                <w:sz w:val="20"/>
              </w:rPr>
              <w:t>Variable</w:t>
            </w:r>
          </w:p>
        </w:tc>
        <w:tc>
          <w:tcPr>
            <w:tcW w:type="dxa" w:w="1417"/>
            <w:tcBorders>
              <w:top w:val="single" w:sz="4" w:color="BFBFBF"/>
              <w:left w:val="single" w:sz="4" w:color="BFBFBF"/>
              <w:bottom w:val="single" w:sz="4" w:color="BFBFBF"/>
              <w:right w:val="single" w:sz="4" w:color="BFBFBF"/>
            </w:tcBorders>
            <w:vAlign w:val="center"/>
          </w:tcPr>
          <w:p>
            <w:r>
              <w:rPr>
                <w:rFonts w:ascii="Calibri" w:hAnsi="Calibri"/>
                <w:sz w:val="20"/>
              </w:rPr>
              <w:t>—</w:t>
            </w:r>
          </w:p>
        </w:tc>
        <w:tc>
          <w:tcPr>
            <w:tcW w:type="dxa" w:w="1417"/>
            <w:tcBorders>
              <w:top w:val="single" w:sz="4" w:color="BFBFBF"/>
              <w:left w:val="single" w:sz="4" w:color="BFBFBF"/>
              <w:bottom w:val="single" w:sz="4" w:color="BFBFBF"/>
              <w:right w:val="single" w:sz="4" w:color="BFBFBF"/>
            </w:tcBorders>
            <w:vAlign w:val="center"/>
          </w:tcPr>
          <w:p>
            <w:r>
              <w:rPr>
                <w:rFonts w:ascii="Calibri" w:hAnsi="Calibri"/>
                <w:sz w:val="20"/>
              </w:rPr>
              <w:t>—</w:t>
            </w:r>
          </w:p>
        </w:tc>
      </w:tr>
      <w:tr>
        <w:tc>
          <w:tcPr>
            <w:tcW w:type="dxa" w:w="2551"/>
            <w:shd w:val="clear" w:color="auto" w:fill="F2F2F2"/>
            <w:tcBorders>
              <w:top w:val="single" w:sz="4" w:color="BFBFBF"/>
              <w:left w:val="single" w:sz="4" w:color="BFBFBF"/>
              <w:bottom w:val="single" w:sz="4" w:color="BFBFBF"/>
              <w:right w:val="single" w:sz="4" w:color="BFBFBF"/>
            </w:tcBorders>
            <w:vAlign w:val="center"/>
          </w:tcPr>
          <w:p>
            <w:r>
              <w:rPr>
                <w:rFonts w:ascii="Calibri" w:hAnsi="Calibri"/>
                <w:sz w:val="20"/>
              </w:rPr>
              <w:t>Taxe sur opérations financières (TAF)</w:t>
            </w:r>
          </w:p>
        </w:tc>
        <w:tc>
          <w:tcPr>
            <w:tcW w:type="dxa" w:w="1701"/>
            <w:shd w:val="clear" w:color="auto" w:fill="F2F2F2"/>
            <w:tcBorders>
              <w:top w:val="single" w:sz="4" w:color="BFBFBF"/>
              <w:left w:val="single" w:sz="4" w:color="BFBFBF"/>
              <w:bottom w:val="single" w:sz="4" w:color="BFBFBF"/>
              <w:right w:val="single" w:sz="4" w:color="BFBFBF"/>
            </w:tcBorders>
            <w:vAlign w:val="center"/>
          </w:tcPr>
          <w:p>
            <w:r>
              <w:rPr>
                <w:rFonts w:ascii="Calibri" w:hAnsi="Calibri"/>
                <w:sz w:val="20"/>
              </w:rPr>
              <w:t>10-17%</w:t>
            </w:r>
          </w:p>
        </w:tc>
        <w:tc>
          <w:tcPr>
            <w:tcW w:type="dxa" w:w="1701"/>
            <w:shd w:val="clear" w:color="auto" w:fill="F2F2F2"/>
            <w:tcBorders>
              <w:top w:val="single" w:sz="4" w:color="BFBFBF"/>
              <w:left w:val="single" w:sz="4" w:color="BFBFBF"/>
              <w:bottom w:val="single" w:sz="4" w:color="BFBFBF"/>
              <w:right w:val="single" w:sz="4" w:color="BFBFBF"/>
            </w:tcBorders>
            <w:vAlign w:val="center"/>
          </w:tcPr>
          <w:p>
            <w:r>
              <w:rPr>
                <w:rFonts w:ascii="Calibri" w:hAnsi="Calibri"/>
                <w:sz w:val="20"/>
              </w:rPr>
              <w:t>10-15%</w:t>
            </w:r>
          </w:p>
        </w:tc>
        <w:tc>
          <w:tcPr>
            <w:tcW w:type="dxa" w:w="1417"/>
            <w:shd w:val="clear" w:color="auto" w:fill="F2F2F2"/>
            <w:tcBorders>
              <w:top w:val="single" w:sz="4" w:color="BFBFBF"/>
              <w:left w:val="single" w:sz="4" w:color="BFBFBF"/>
              <w:bottom w:val="single" w:sz="4" w:color="BFBFBF"/>
              <w:right w:val="single" w:sz="4" w:color="BFBFBF"/>
            </w:tcBorders>
            <w:vAlign w:val="center"/>
          </w:tcPr>
          <w:p>
            <w:r>
              <w:rPr>
                <w:rFonts w:ascii="Calibri" w:hAnsi="Calibri"/>
                <w:sz w:val="20"/>
              </w:rPr>
              <w:t>—</w:t>
            </w:r>
          </w:p>
        </w:tc>
        <w:tc>
          <w:tcPr>
            <w:tcW w:type="dxa" w:w="1417"/>
            <w:shd w:val="clear" w:color="auto" w:fill="F2F2F2"/>
            <w:tcBorders>
              <w:top w:val="single" w:sz="4" w:color="BFBFBF"/>
              <w:left w:val="single" w:sz="4" w:color="BFBFBF"/>
              <w:bottom w:val="single" w:sz="4" w:color="BFBFBF"/>
              <w:right w:val="single" w:sz="4" w:color="BFBFBF"/>
            </w:tcBorders>
            <w:vAlign w:val="center"/>
          </w:tcPr>
          <w:p>
            <w:r>
              <w:rPr>
                <w:rFonts w:ascii="Calibri" w:hAnsi="Calibri"/>
                <w:sz w:val="20"/>
              </w:rPr>
              <w:t>—</w:t>
            </w:r>
          </w:p>
        </w:tc>
      </w:tr>
      <w:tr>
        <w:tc>
          <w:tcPr>
            <w:tcW w:type="dxa" w:w="2551"/>
            <w:tcBorders>
              <w:top w:val="single" w:sz="4" w:color="BFBFBF"/>
              <w:left w:val="single" w:sz="4" w:color="BFBFBF"/>
              <w:bottom w:val="single" w:sz="4" w:color="BFBFBF"/>
              <w:right w:val="single" w:sz="4" w:color="BFBFBF"/>
            </w:tcBorders>
            <w:vAlign w:val="center"/>
          </w:tcPr>
          <w:p>
            <w:r>
              <w:rPr>
                <w:rFonts w:ascii="Calibri" w:hAnsi="Calibri"/>
                <w:sz w:val="20"/>
              </w:rPr>
              <w:t>Charges sociales employeur</w:t>
            </w:r>
          </w:p>
        </w:tc>
        <w:tc>
          <w:tcPr>
            <w:tcW w:type="dxa" w:w="1701"/>
            <w:tcBorders>
              <w:top w:val="single" w:sz="4" w:color="BFBFBF"/>
              <w:left w:val="single" w:sz="4" w:color="BFBFBF"/>
              <w:bottom w:val="single" w:sz="4" w:color="BFBFBF"/>
              <w:right w:val="single" w:sz="4" w:color="BFBFBF"/>
            </w:tcBorders>
            <w:vAlign w:val="center"/>
          </w:tcPr>
          <w:p>
            <w:r>
              <w:rPr>
                <w:rFonts w:ascii="Calibri" w:hAnsi="Calibri"/>
                <w:sz w:val="20"/>
              </w:rPr>
              <w:t>16-20%</w:t>
            </w:r>
          </w:p>
        </w:tc>
        <w:tc>
          <w:tcPr>
            <w:tcW w:type="dxa" w:w="1701"/>
            <w:tcBorders>
              <w:top w:val="single" w:sz="4" w:color="BFBFBF"/>
              <w:left w:val="single" w:sz="4" w:color="BFBFBF"/>
              <w:bottom w:val="single" w:sz="4" w:color="BFBFBF"/>
              <w:right w:val="single" w:sz="4" w:color="BFBFBF"/>
            </w:tcBorders>
            <w:vAlign w:val="center"/>
          </w:tcPr>
          <w:p>
            <w:r>
              <w:rPr>
                <w:rFonts w:ascii="Calibri" w:hAnsi="Calibri"/>
                <w:sz w:val="20"/>
              </w:rPr>
              <w:t>18-23%</w:t>
            </w:r>
          </w:p>
        </w:tc>
        <w:tc>
          <w:tcPr>
            <w:tcW w:type="dxa" w:w="1417"/>
            <w:tcBorders>
              <w:top w:val="single" w:sz="4" w:color="BFBFBF"/>
              <w:left w:val="single" w:sz="4" w:color="BFBFBF"/>
              <w:bottom w:val="single" w:sz="4" w:color="BFBFBF"/>
              <w:right w:val="single" w:sz="4" w:color="BFBFBF"/>
            </w:tcBorders>
            <w:vAlign w:val="center"/>
          </w:tcPr>
          <w:p>
            <w:r>
              <w:rPr>
                <w:rFonts w:ascii="Calibri" w:hAnsi="Calibri"/>
                <w:sz w:val="20"/>
              </w:rPr>
              <w:t>~45%</w:t>
            </w:r>
          </w:p>
        </w:tc>
        <w:tc>
          <w:tcPr>
            <w:tcW w:type="dxa" w:w="1417"/>
            <w:tcBorders>
              <w:top w:val="single" w:sz="4" w:color="BFBFBF"/>
              <w:left w:val="single" w:sz="4" w:color="BFBFBF"/>
              <w:bottom w:val="single" w:sz="4" w:color="BFBFBF"/>
              <w:right w:val="single" w:sz="4" w:color="BFBFBF"/>
            </w:tcBorders>
            <w:vAlign w:val="center"/>
          </w:tcPr>
          <w:p>
            <w:r>
              <w:rPr>
                <w:rFonts w:ascii="Calibri" w:hAnsi="Calibri"/>
                <w:sz w:val="20"/>
              </w:rPr>
              <w:t>7,65% (FICA)</w:t>
            </w:r>
          </w:p>
        </w:tc>
      </w:tr>
    </w:tbl>
    <w:p>
      <w:pPr>
        <w:spacing w:after="120"/>
      </w:pPr>
    </w:p>
    <w:tbl>
      <w:tblPr>
        <w:tblW w:type="auto" w:w="0"/>
        <w:tblLook w:firstColumn="1" w:firstRow="1" w:lastColumn="0" w:lastRow="0" w:noHBand="0" w:noVBand="1" w:val="04A0"/>
      </w:tblPr>
      <w:tblGrid>
        <w:gridCol w:w="9406"/>
      </w:tblGrid>
      <w:tr>
        <w:tc>
          <w:tcPr>
            <w:tcW w:type="dxa" w:w="9406"/>
            <w:shd w:val="clear" w:color="auto" w:fill="D6E0EC"/>
            <w:tcBorders>
              <w:top w:val="single" w:sz="12" w:color="0A2540"/>
              <w:bottom w:val="single" w:sz="4" w:color="0A2540"/>
              <w:left w:val="single" w:sz="24" w:color="0A2540"/>
              <w:right w:val="single" w:sz="4" w:color="0A2540"/>
            </w:tcBorders>
          </w:tcPr>
          <w:p>
            <w:r>
              <w:rPr>
                <w:rFonts w:ascii="Calibri" w:hAnsi="Calibri"/>
                <w:b/>
                <w:color w:val="0A2540"/>
                <w:sz w:val="22"/>
              </w:rPr>
              <w:t>Note pratique sur la fiscalité</w:t>
            </w:r>
          </w:p>
          <w:p>
            <w:pPr>
              <w:jc w:val="both"/>
            </w:pPr>
            <w:r>
              <w:rPr>
                <w:rFonts w:ascii="Calibri" w:hAnsi="Calibri"/>
                <w:sz w:val="22"/>
              </w:rPr>
              <w:t>Les taux d'IS varient sensiblement au sein même de chaque zone (ex. Côte d'Ivoire 25% vs Sénégal 30% en UEMOA ; Gabon 30% vs Cameroun 33% en CEMAC). De plus, certains régimes spéciaux existent : zones franches (taux réduits), entreprises minières (régime forfaitaire), opérateurs télécoms (taxes additionnelles), institutions financières (taxes spécifiques). L'outil doit permettre de gérer ces particularités via des règles fiscales par pays et par secteur.</w:t>
            </w:r>
          </w:p>
        </w:tc>
      </w:tr>
    </w:tbl>
    <w:p>
      <w:pPr>
        <w:spacing w:after="120"/>
      </w:pPr>
    </w:p>
    <w:p>
      <w:pPr>
        <w:pStyle w:val="Heading2"/>
        <w:spacing w:before="240" w:after="120"/>
      </w:pPr>
      <w:r>
        <w:rPr>
          <w:rFonts w:ascii="Calibri" w:hAnsi="Calibri"/>
          <w:b/>
          <w:color w:val="0A2540"/>
          <w:sz w:val="30"/>
        </w:rPr>
        <w:t>4.6 Normes OHADA non-comptables impactant la modélisation</w:t>
      </w:r>
    </w:p>
    <w:p>
      <w:pPr>
        <w:pStyle w:val="ListBullet"/>
        <w:spacing w:after="60"/>
        <w:ind w:left="340"/>
      </w:pPr>
      <w:r>
        <w:rPr>
          <w:rFonts w:ascii="Calibri" w:hAnsi="Calibri"/>
          <w:sz w:val="22"/>
        </w:rPr>
        <w:t>Acte uniforme sur les sûretés (cautions, hypothèques, nantissements) — impact sur le coût du financement</w:t>
      </w:r>
    </w:p>
    <w:p>
      <w:pPr>
        <w:pStyle w:val="ListBullet"/>
        <w:spacing w:after="60"/>
        <w:ind w:left="340"/>
      </w:pPr>
      <w:r>
        <w:rPr>
          <w:rFonts w:ascii="Calibri" w:hAnsi="Calibri"/>
          <w:sz w:val="22"/>
        </w:rPr>
        <w:t>Acte uniforme sur le recouvrement des créances — délais procéduraux, impact DSO</w:t>
      </w:r>
    </w:p>
    <w:p>
      <w:pPr>
        <w:pStyle w:val="ListBullet"/>
        <w:spacing w:after="60"/>
        <w:ind w:left="340"/>
      </w:pPr>
      <w:r>
        <w:rPr>
          <w:rFonts w:ascii="Calibri" w:hAnsi="Calibri"/>
          <w:sz w:val="22"/>
        </w:rPr>
        <w:t>Acte uniforme sur les procédures collectives — risques de défaillance dans modèles de crédit</w:t>
      </w:r>
    </w:p>
    <w:p>
      <w:pPr>
        <w:pStyle w:val="ListBullet"/>
        <w:spacing w:after="60"/>
        <w:ind w:left="340"/>
      </w:pPr>
      <w:r>
        <w:rPr>
          <w:rFonts w:ascii="Calibri" w:hAnsi="Calibri"/>
          <w:sz w:val="22"/>
        </w:rPr>
        <w:t>Acte uniforme sur les sociétés commerciales et le GIE — gouvernance, distribution de dividendes</w:t>
      </w:r>
    </w:p>
    <w:p>
      <w:pPr>
        <w:pStyle w:val="ListBullet"/>
        <w:spacing w:after="60"/>
        <w:ind w:left="340"/>
      </w:pPr>
      <w:r>
        <w:rPr>
          <w:rFonts w:ascii="Calibri" w:hAnsi="Calibri"/>
          <w:sz w:val="22"/>
        </w:rPr>
        <w:t>Acte uniforme sur le droit commercial général — contrats commerciaux, agence commerciale</w:t>
      </w:r>
    </w:p>
    <w:p>
      <w:pPr>
        <w:pStyle w:val="ListBullet"/>
        <w:spacing w:after="60"/>
        <w:ind w:left="340"/>
      </w:pPr>
      <w:r>
        <w:rPr>
          <w:rFonts w:ascii="Calibri" w:hAnsi="Calibri"/>
          <w:sz w:val="22"/>
        </w:rPr>
        <w:t>Acte uniforme sur le droit du travail (en cours d'harmonisation) — charges sociales, indemnités</w:t>
      </w:r>
    </w:p>
    <w:p>
      <w:r>
        <w:br w:type="page"/>
      </w:r>
    </w:p>
    <w:p>
      <w:pPr>
        <w:pStyle w:val="Heading1"/>
        <w:spacing w:before="240" w:after="120"/>
      </w:pPr>
      <w:r>
        <w:rPr>
          <w:rFonts w:ascii="Calibri" w:hAnsi="Calibri"/>
          <w:b/>
          <w:color w:val="0A2540"/>
          <w:sz w:val="36"/>
        </w:rPr>
        <w:t>5. Spécifications par secteur</w:t>
      </w:r>
    </w:p>
    <w:p>
      <w:pPr>
        <w:spacing w:before="0" w:after="120"/>
        <w:jc w:val="both"/>
      </w:pPr>
      <w:r>
        <w:rPr>
          <w:rFonts w:ascii="Calibri" w:hAnsi="Calibri"/>
          <w:b w:val="0"/>
          <w:i w:val="0"/>
          <w:color w:val="000000"/>
          <w:sz w:val="22"/>
        </w:rPr>
        <w:t>Ce chapitre constitue le cœur opérationnel du document. Chaque fiche sectorielle suit une structure standardisée à neuf rubriques permettant à l'équipe de développement d'implémenter le template correspondant :</w:t>
      </w:r>
    </w:p>
    <w:p>
      <w:pPr>
        <w:pStyle w:val="ListNumber"/>
        <w:spacing w:after="60"/>
        <w:ind w:left="340"/>
      </w:pPr>
      <w:r>
        <w:rPr>
          <w:rFonts w:ascii="Calibri" w:hAnsi="Calibri"/>
          <w:sz w:val="22"/>
        </w:rPr>
        <w:t>Description du secteur et de ses dynamiques économiques</w:t>
      </w:r>
    </w:p>
    <w:p>
      <w:pPr>
        <w:pStyle w:val="ListNumber"/>
        <w:spacing w:after="60"/>
        <w:ind w:left="340"/>
      </w:pPr>
      <w:r>
        <w:rPr>
          <w:rFonts w:ascii="Calibri" w:hAnsi="Calibri"/>
          <w:sz w:val="22"/>
        </w:rPr>
        <w:t>Sous-secteurs et variantes business</w:t>
      </w:r>
    </w:p>
    <w:p>
      <w:pPr>
        <w:pStyle w:val="ListNumber"/>
        <w:spacing w:after="60"/>
        <w:ind w:left="340"/>
      </w:pPr>
      <w:r>
        <w:rPr>
          <w:rFonts w:ascii="Calibri" w:hAnsi="Calibri"/>
          <w:sz w:val="22"/>
        </w:rPr>
        <w:t>Spécificités fiscales et réglementaires</w:t>
      </w:r>
    </w:p>
    <w:p>
      <w:pPr>
        <w:pStyle w:val="ListNumber"/>
        <w:spacing w:after="60"/>
        <w:ind w:left="340"/>
      </w:pPr>
      <w:r>
        <w:rPr>
          <w:rFonts w:ascii="Calibri" w:hAnsi="Calibri"/>
          <w:sz w:val="22"/>
        </w:rPr>
        <w:t>Modèle de revenus et mécanique de reconnaissance</w:t>
      </w:r>
    </w:p>
    <w:p>
      <w:pPr>
        <w:pStyle w:val="ListNumber"/>
        <w:spacing w:after="60"/>
        <w:ind w:left="340"/>
      </w:pPr>
      <w:r>
        <w:rPr>
          <w:rFonts w:ascii="Calibri" w:hAnsi="Calibri"/>
          <w:sz w:val="22"/>
        </w:rPr>
        <w:t>Structure de coûts type</w:t>
      </w:r>
    </w:p>
    <w:p>
      <w:pPr>
        <w:pStyle w:val="ListNumber"/>
        <w:spacing w:after="60"/>
        <w:ind w:left="340"/>
      </w:pPr>
      <w:r>
        <w:rPr>
          <w:rFonts w:ascii="Calibri" w:hAnsi="Calibri"/>
          <w:sz w:val="22"/>
        </w:rPr>
        <w:t>Hypothèses clés (inputs paramétrables)</w:t>
      </w:r>
    </w:p>
    <w:p>
      <w:pPr>
        <w:pStyle w:val="ListNumber"/>
        <w:spacing w:after="60"/>
        <w:ind w:left="340"/>
      </w:pPr>
      <w:r>
        <w:rPr>
          <w:rFonts w:ascii="Calibri" w:hAnsi="Calibri"/>
          <w:sz w:val="22"/>
        </w:rPr>
        <w:t>Règles de calcul critiques (formules métier)</w:t>
      </w:r>
    </w:p>
    <w:p>
      <w:pPr>
        <w:pStyle w:val="ListNumber"/>
        <w:spacing w:after="60"/>
        <w:ind w:left="340"/>
      </w:pPr>
      <w:r>
        <w:rPr>
          <w:rFonts w:ascii="Calibri" w:hAnsi="Calibri"/>
          <w:sz w:val="22"/>
        </w:rPr>
        <w:t>KPIs et indicateurs sectoriels</w:t>
      </w:r>
    </w:p>
    <w:p>
      <w:pPr>
        <w:pStyle w:val="ListNumber"/>
        <w:spacing w:after="60"/>
        <w:ind w:left="340"/>
      </w:pPr>
      <w:r>
        <w:rPr>
          <w:rFonts w:ascii="Calibri" w:hAnsi="Calibri"/>
          <w:sz w:val="22"/>
        </w:rPr>
        <w:t>Structure du template (feuilles, modules, livrables)</w:t>
      </w:r>
    </w:p>
    <w:p>
      <w:pPr>
        <w:pStyle w:val="Heading2"/>
        <w:spacing w:before="240" w:after="120"/>
      </w:pPr>
      <w:r>
        <w:rPr>
          <w:rFonts w:ascii="Calibri" w:hAnsi="Calibri"/>
          <w:b/>
          <w:color w:val="0A2540"/>
          <w:sz w:val="30"/>
        </w:rPr>
        <w:t>5.1 BTP — Bâtiments, Travaux Publics, Génie Civil</w:t>
      </w:r>
    </w:p>
    <w:p>
      <w:pPr>
        <w:pStyle w:val="Heading3"/>
        <w:spacing w:before="180" w:after="120"/>
      </w:pPr>
      <w:r>
        <w:rPr>
          <w:rFonts w:ascii="Calibri" w:hAnsi="Calibri"/>
          <w:b/>
          <w:color w:val="0A2540"/>
          <w:sz w:val="26"/>
        </w:rPr>
        <w:t>Description du secteur</w:t>
      </w:r>
    </w:p>
    <w:p>
      <w:pPr>
        <w:spacing w:before="0" w:after="120"/>
        <w:jc w:val="both"/>
      </w:pPr>
      <w:r>
        <w:rPr>
          <w:rFonts w:ascii="Calibri" w:hAnsi="Calibri"/>
          <w:b w:val="0"/>
          <w:i w:val="0"/>
          <w:color w:val="000000"/>
          <w:sz w:val="22"/>
        </w:rPr>
        <w:t>Le secteur BTP couvre la construction de bâtiments (logements, tertiaire, équipements publics), les travaux publics (routes, ponts, aménagements urbains) et le génie civil lourd (barrages, ports, centrales). En zone UEMOA/CEMAC, ce secteur est porté principalement par la commande publique (40 à 70% du volume selon les pays) et financé par les bailleurs internationaux (BAD, Banque Mondiale, BID, AFD, fonds chinois).</w:t>
      </w:r>
    </w:p>
    <w:p>
      <w:pPr>
        <w:pStyle w:val="Heading3"/>
        <w:spacing w:before="180" w:after="120"/>
      </w:pPr>
      <w:r>
        <w:rPr>
          <w:rFonts w:ascii="Calibri" w:hAnsi="Calibri"/>
          <w:b/>
          <w:color w:val="0A2540"/>
          <w:sz w:val="26"/>
        </w:rPr>
        <w:t>Sous-secteurs et variantes</w:t>
      </w:r>
    </w:p>
    <w:tbl>
      <w:tblPr>
        <w:tblW w:type="auto" w:w="0"/>
        <w:jc w:val="center"/>
        <w:tblLayout w:type="fixed"/>
        <w:tblLook w:firstColumn="1" w:firstRow="1" w:lastColumn="0" w:lastRow="0" w:noHBand="0" w:noVBand="1" w:val="04A0"/>
      </w:tblPr>
      <w:tblGrid>
        <w:gridCol w:w="2351"/>
        <w:gridCol w:w="2351"/>
        <w:gridCol w:w="2351"/>
        <w:gridCol w:w="2351"/>
      </w:tblGrid>
      <w:tr>
        <w:tc>
          <w:tcPr>
            <w:tcW w:type="dxa" w:w="2835"/>
            <w:shd w:val="clear" w:color="auto" w:fill="0A2540"/>
            <w:tcBorders>
              <w:top w:val="single" w:sz="4" w:color="BFBFBF"/>
              <w:left w:val="single" w:sz="4" w:color="BFBFBF"/>
              <w:bottom w:val="single" w:sz="4" w:color="BFBFBF"/>
              <w:right w:val="single" w:sz="4" w:color="BFBFBF"/>
            </w:tcBorders>
            <w:vAlign w:val="center"/>
          </w:tcPr>
          <w:p>
            <w:pPr>
              <w:jc w:val="center"/>
            </w:pPr>
            <w:r>
              <w:rPr>
                <w:rFonts w:ascii="Calibri" w:hAnsi="Calibri"/>
                <w:b/>
                <w:color w:val="FFFFFF"/>
                <w:sz w:val="20"/>
              </w:rPr>
              <w:t>Sous-secteur</w:t>
            </w:r>
          </w:p>
        </w:tc>
        <w:tc>
          <w:tcPr>
            <w:tcW w:type="dxa" w:w="1984"/>
            <w:shd w:val="clear" w:color="auto" w:fill="0A2540"/>
            <w:tcBorders>
              <w:top w:val="single" w:sz="4" w:color="BFBFBF"/>
              <w:left w:val="single" w:sz="4" w:color="BFBFBF"/>
              <w:bottom w:val="single" w:sz="4" w:color="BFBFBF"/>
              <w:right w:val="single" w:sz="4" w:color="BFBFBF"/>
            </w:tcBorders>
            <w:vAlign w:val="center"/>
          </w:tcPr>
          <w:p>
            <w:pPr>
              <w:jc w:val="center"/>
            </w:pPr>
            <w:r>
              <w:rPr>
                <w:rFonts w:ascii="Calibri" w:hAnsi="Calibri"/>
                <w:b/>
                <w:color w:val="FFFFFF"/>
                <w:sz w:val="20"/>
              </w:rPr>
              <w:t>Marge brute typique</w:t>
            </w:r>
          </w:p>
        </w:tc>
        <w:tc>
          <w:tcPr>
            <w:tcW w:type="dxa" w:w="1984"/>
            <w:shd w:val="clear" w:color="auto" w:fill="0A2540"/>
            <w:tcBorders>
              <w:top w:val="single" w:sz="4" w:color="BFBFBF"/>
              <w:left w:val="single" w:sz="4" w:color="BFBFBF"/>
              <w:bottom w:val="single" w:sz="4" w:color="BFBFBF"/>
              <w:right w:val="single" w:sz="4" w:color="BFBFBF"/>
            </w:tcBorders>
            <w:vAlign w:val="center"/>
          </w:tcPr>
          <w:p>
            <w:pPr>
              <w:jc w:val="center"/>
            </w:pPr>
            <w:r>
              <w:rPr>
                <w:rFonts w:ascii="Calibri" w:hAnsi="Calibri"/>
                <w:b/>
                <w:color w:val="FFFFFF"/>
                <w:sz w:val="20"/>
              </w:rPr>
              <w:t>Cycle moyen</w:t>
            </w:r>
          </w:p>
        </w:tc>
        <w:tc>
          <w:tcPr>
            <w:tcW w:type="dxa" w:w="2268"/>
            <w:shd w:val="clear" w:color="auto" w:fill="0A2540"/>
            <w:tcBorders>
              <w:top w:val="single" w:sz="4" w:color="BFBFBF"/>
              <w:left w:val="single" w:sz="4" w:color="BFBFBF"/>
              <w:bottom w:val="single" w:sz="4" w:color="BFBFBF"/>
              <w:right w:val="single" w:sz="4" w:color="BFBFBF"/>
            </w:tcBorders>
            <w:vAlign w:val="center"/>
          </w:tcPr>
          <w:p>
            <w:pPr>
              <w:jc w:val="center"/>
            </w:pPr>
            <w:r>
              <w:rPr>
                <w:rFonts w:ascii="Calibri" w:hAnsi="Calibri"/>
                <w:b/>
                <w:color w:val="FFFFFF"/>
                <w:sz w:val="20"/>
              </w:rPr>
              <w:t>BFR / CA (jours)</w:t>
            </w:r>
          </w:p>
        </w:tc>
      </w:tr>
      <w:tr>
        <w:tc>
          <w:tcPr>
            <w:tcW w:type="dxa" w:w="2835"/>
            <w:tcBorders>
              <w:top w:val="single" w:sz="4" w:color="BFBFBF"/>
              <w:left w:val="single" w:sz="4" w:color="BFBFBF"/>
              <w:bottom w:val="single" w:sz="4" w:color="BFBFBF"/>
              <w:right w:val="single" w:sz="4" w:color="BFBFBF"/>
            </w:tcBorders>
            <w:vAlign w:val="center"/>
          </w:tcPr>
          <w:p>
            <w:r>
              <w:rPr>
                <w:rFonts w:ascii="Calibri" w:hAnsi="Calibri"/>
                <w:sz w:val="20"/>
              </w:rPr>
              <w:t>Bâtiments publics</w:t>
            </w:r>
          </w:p>
        </w:tc>
        <w:tc>
          <w:tcPr>
            <w:tcW w:type="dxa" w:w="1984"/>
            <w:tcBorders>
              <w:top w:val="single" w:sz="4" w:color="BFBFBF"/>
              <w:left w:val="single" w:sz="4" w:color="BFBFBF"/>
              <w:bottom w:val="single" w:sz="4" w:color="BFBFBF"/>
              <w:right w:val="single" w:sz="4" w:color="BFBFBF"/>
            </w:tcBorders>
            <w:vAlign w:val="center"/>
          </w:tcPr>
          <w:p>
            <w:r>
              <w:rPr>
                <w:rFonts w:ascii="Calibri" w:hAnsi="Calibri"/>
                <w:sz w:val="20"/>
              </w:rPr>
              <w:t>12-16%</w:t>
            </w:r>
          </w:p>
        </w:tc>
        <w:tc>
          <w:tcPr>
            <w:tcW w:type="dxa" w:w="1984"/>
            <w:tcBorders>
              <w:top w:val="single" w:sz="4" w:color="BFBFBF"/>
              <w:left w:val="single" w:sz="4" w:color="BFBFBF"/>
              <w:bottom w:val="single" w:sz="4" w:color="BFBFBF"/>
              <w:right w:val="single" w:sz="4" w:color="BFBFBF"/>
            </w:tcBorders>
            <w:vAlign w:val="center"/>
          </w:tcPr>
          <w:p>
            <w:r>
              <w:rPr>
                <w:rFonts w:ascii="Calibri" w:hAnsi="Calibri"/>
                <w:sz w:val="20"/>
              </w:rPr>
              <w:t>12-24 mois</w:t>
            </w:r>
          </w:p>
        </w:tc>
        <w:tc>
          <w:tcPr>
            <w:tcW w:type="dxa" w:w="2268"/>
            <w:tcBorders>
              <w:top w:val="single" w:sz="4" w:color="BFBFBF"/>
              <w:left w:val="single" w:sz="4" w:color="BFBFBF"/>
              <w:bottom w:val="single" w:sz="4" w:color="BFBFBF"/>
              <w:right w:val="single" w:sz="4" w:color="BFBFBF"/>
            </w:tcBorders>
            <w:vAlign w:val="center"/>
          </w:tcPr>
          <w:p>
            <w:r>
              <w:rPr>
                <w:rFonts w:ascii="Calibri" w:hAnsi="Calibri"/>
                <w:sz w:val="20"/>
              </w:rPr>
              <w:t>90-120</w:t>
            </w:r>
          </w:p>
        </w:tc>
      </w:tr>
      <w:tr>
        <w:tc>
          <w:tcPr>
            <w:tcW w:type="dxa" w:w="2835"/>
            <w:shd w:val="clear" w:color="auto" w:fill="F2F2F2"/>
            <w:tcBorders>
              <w:top w:val="single" w:sz="4" w:color="BFBFBF"/>
              <w:left w:val="single" w:sz="4" w:color="BFBFBF"/>
              <w:bottom w:val="single" w:sz="4" w:color="BFBFBF"/>
              <w:right w:val="single" w:sz="4" w:color="BFBFBF"/>
            </w:tcBorders>
            <w:vAlign w:val="center"/>
          </w:tcPr>
          <w:p>
            <w:r>
              <w:rPr>
                <w:rFonts w:ascii="Calibri" w:hAnsi="Calibri"/>
                <w:sz w:val="20"/>
              </w:rPr>
              <w:t>Bâtiments privés / promotion</w:t>
            </w:r>
          </w:p>
        </w:tc>
        <w:tc>
          <w:tcPr>
            <w:tcW w:type="dxa" w:w="1984"/>
            <w:shd w:val="clear" w:color="auto" w:fill="F2F2F2"/>
            <w:tcBorders>
              <w:top w:val="single" w:sz="4" w:color="BFBFBF"/>
              <w:left w:val="single" w:sz="4" w:color="BFBFBF"/>
              <w:bottom w:val="single" w:sz="4" w:color="BFBFBF"/>
              <w:right w:val="single" w:sz="4" w:color="BFBFBF"/>
            </w:tcBorders>
            <w:vAlign w:val="center"/>
          </w:tcPr>
          <w:p>
            <w:r>
              <w:rPr>
                <w:rFonts w:ascii="Calibri" w:hAnsi="Calibri"/>
                <w:sz w:val="20"/>
              </w:rPr>
              <w:t>15-22%</w:t>
            </w:r>
          </w:p>
        </w:tc>
        <w:tc>
          <w:tcPr>
            <w:tcW w:type="dxa" w:w="1984"/>
            <w:shd w:val="clear" w:color="auto" w:fill="F2F2F2"/>
            <w:tcBorders>
              <w:top w:val="single" w:sz="4" w:color="BFBFBF"/>
              <w:left w:val="single" w:sz="4" w:color="BFBFBF"/>
              <w:bottom w:val="single" w:sz="4" w:color="BFBFBF"/>
              <w:right w:val="single" w:sz="4" w:color="BFBFBF"/>
            </w:tcBorders>
            <w:vAlign w:val="center"/>
          </w:tcPr>
          <w:p>
            <w:r>
              <w:rPr>
                <w:rFonts w:ascii="Calibri" w:hAnsi="Calibri"/>
                <w:sz w:val="20"/>
              </w:rPr>
              <w:t>18-30 mois</w:t>
            </w:r>
          </w:p>
        </w:tc>
        <w:tc>
          <w:tcPr>
            <w:tcW w:type="dxa" w:w="2268"/>
            <w:shd w:val="clear" w:color="auto" w:fill="F2F2F2"/>
            <w:tcBorders>
              <w:top w:val="single" w:sz="4" w:color="BFBFBF"/>
              <w:left w:val="single" w:sz="4" w:color="BFBFBF"/>
              <w:bottom w:val="single" w:sz="4" w:color="BFBFBF"/>
              <w:right w:val="single" w:sz="4" w:color="BFBFBF"/>
            </w:tcBorders>
            <w:vAlign w:val="center"/>
          </w:tcPr>
          <w:p>
            <w:r>
              <w:rPr>
                <w:rFonts w:ascii="Calibri" w:hAnsi="Calibri"/>
                <w:sz w:val="20"/>
              </w:rPr>
              <w:t>60-90</w:t>
            </w:r>
          </w:p>
        </w:tc>
      </w:tr>
      <w:tr>
        <w:tc>
          <w:tcPr>
            <w:tcW w:type="dxa" w:w="2835"/>
            <w:tcBorders>
              <w:top w:val="single" w:sz="4" w:color="BFBFBF"/>
              <w:left w:val="single" w:sz="4" w:color="BFBFBF"/>
              <w:bottom w:val="single" w:sz="4" w:color="BFBFBF"/>
              <w:right w:val="single" w:sz="4" w:color="BFBFBF"/>
            </w:tcBorders>
            <w:vAlign w:val="center"/>
          </w:tcPr>
          <w:p>
            <w:r>
              <w:rPr>
                <w:rFonts w:ascii="Calibri" w:hAnsi="Calibri"/>
                <w:sz w:val="20"/>
              </w:rPr>
              <w:t>Routes &amp; infrastructures</w:t>
            </w:r>
          </w:p>
        </w:tc>
        <w:tc>
          <w:tcPr>
            <w:tcW w:type="dxa" w:w="1984"/>
            <w:tcBorders>
              <w:top w:val="single" w:sz="4" w:color="BFBFBF"/>
              <w:left w:val="single" w:sz="4" w:color="BFBFBF"/>
              <w:bottom w:val="single" w:sz="4" w:color="BFBFBF"/>
              <w:right w:val="single" w:sz="4" w:color="BFBFBF"/>
            </w:tcBorders>
            <w:vAlign w:val="center"/>
          </w:tcPr>
          <w:p>
            <w:r>
              <w:rPr>
                <w:rFonts w:ascii="Calibri" w:hAnsi="Calibri"/>
                <w:sz w:val="20"/>
              </w:rPr>
              <w:t>10-14%</w:t>
            </w:r>
          </w:p>
        </w:tc>
        <w:tc>
          <w:tcPr>
            <w:tcW w:type="dxa" w:w="1984"/>
            <w:tcBorders>
              <w:top w:val="single" w:sz="4" w:color="BFBFBF"/>
              <w:left w:val="single" w:sz="4" w:color="BFBFBF"/>
              <w:bottom w:val="single" w:sz="4" w:color="BFBFBF"/>
              <w:right w:val="single" w:sz="4" w:color="BFBFBF"/>
            </w:tcBorders>
            <w:vAlign w:val="center"/>
          </w:tcPr>
          <w:p>
            <w:r>
              <w:rPr>
                <w:rFonts w:ascii="Calibri" w:hAnsi="Calibri"/>
                <w:sz w:val="20"/>
              </w:rPr>
              <w:t>18-36 mois</w:t>
            </w:r>
          </w:p>
        </w:tc>
        <w:tc>
          <w:tcPr>
            <w:tcW w:type="dxa" w:w="2268"/>
            <w:tcBorders>
              <w:top w:val="single" w:sz="4" w:color="BFBFBF"/>
              <w:left w:val="single" w:sz="4" w:color="BFBFBF"/>
              <w:bottom w:val="single" w:sz="4" w:color="BFBFBF"/>
              <w:right w:val="single" w:sz="4" w:color="BFBFBF"/>
            </w:tcBorders>
            <w:vAlign w:val="center"/>
          </w:tcPr>
          <w:p>
            <w:r>
              <w:rPr>
                <w:rFonts w:ascii="Calibri" w:hAnsi="Calibri"/>
                <w:sz w:val="20"/>
              </w:rPr>
              <w:t>100-150</w:t>
            </w:r>
          </w:p>
        </w:tc>
      </w:tr>
      <w:tr>
        <w:tc>
          <w:tcPr>
            <w:tcW w:type="dxa" w:w="2835"/>
            <w:shd w:val="clear" w:color="auto" w:fill="F2F2F2"/>
            <w:tcBorders>
              <w:top w:val="single" w:sz="4" w:color="BFBFBF"/>
              <w:left w:val="single" w:sz="4" w:color="BFBFBF"/>
              <w:bottom w:val="single" w:sz="4" w:color="BFBFBF"/>
              <w:right w:val="single" w:sz="4" w:color="BFBFBF"/>
            </w:tcBorders>
            <w:vAlign w:val="center"/>
          </w:tcPr>
          <w:p>
            <w:r>
              <w:rPr>
                <w:rFonts w:ascii="Calibri" w:hAnsi="Calibri"/>
                <w:sz w:val="20"/>
              </w:rPr>
              <w:t>Génie civil lourd</w:t>
            </w:r>
          </w:p>
        </w:tc>
        <w:tc>
          <w:tcPr>
            <w:tcW w:type="dxa" w:w="1984"/>
            <w:shd w:val="clear" w:color="auto" w:fill="F2F2F2"/>
            <w:tcBorders>
              <w:top w:val="single" w:sz="4" w:color="BFBFBF"/>
              <w:left w:val="single" w:sz="4" w:color="BFBFBF"/>
              <w:bottom w:val="single" w:sz="4" w:color="BFBFBF"/>
              <w:right w:val="single" w:sz="4" w:color="BFBFBF"/>
            </w:tcBorders>
            <w:vAlign w:val="center"/>
          </w:tcPr>
          <w:p>
            <w:r>
              <w:rPr>
                <w:rFonts w:ascii="Calibri" w:hAnsi="Calibri"/>
                <w:sz w:val="20"/>
              </w:rPr>
              <w:t>8-12%</w:t>
            </w:r>
          </w:p>
        </w:tc>
        <w:tc>
          <w:tcPr>
            <w:tcW w:type="dxa" w:w="1984"/>
            <w:shd w:val="clear" w:color="auto" w:fill="F2F2F2"/>
            <w:tcBorders>
              <w:top w:val="single" w:sz="4" w:color="BFBFBF"/>
              <w:left w:val="single" w:sz="4" w:color="BFBFBF"/>
              <w:bottom w:val="single" w:sz="4" w:color="BFBFBF"/>
              <w:right w:val="single" w:sz="4" w:color="BFBFBF"/>
            </w:tcBorders>
            <w:vAlign w:val="center"/>
          </w:tcPr>
          <w:p>
            <w:r>
              <w:rPr>
                <w:rFonts w:ascii="Calibri" w:hAnsi="Calibri"/>
                <w:sz w:val="20"/>
              </w:rPr>
              <w:t>24-48 mois</w:t>
            </w:r>
          </w:p>
        </w:tc>
        <w:tc>
          <w:tcPr>
            <w:tcW w:type="dxa" w:w="2268"/>
            <w:shd w:val="clear" w:color="auto" w:fill="F2F2F2"/>
            <w:tcBorders>
              <w:top w:val="single" w:sz="4" w:color="BFBFBF"/>
              <w:left w:val="single" w:sz="4" w:color="BFBFBF"/>
              <w:bottom w:val="single" w:sz="4" w:color="BFBFBF"/>
              <w:right w:val="single" w:sz="4" w:color="BFBFBF"/>
            </w:tcBorders>
            <w:vAlign w:val="center"/>
          </w:tcPr>
          <w:p>
            <w:r>
              <w:rPr>
                <w:rFonts w:ascii="Calibri" w:hAnsi="Calibri"/>
                <w:sz w:val="20"/>
              </w:rPr>
              <w:t>120-180</w:t>
            </w:r>
          </w:p>
        </w:tc>
      </w:tr>
      <w:tr>
        <w:tc>
          <w:tcPr>
            <w:tcW w:type="dxa" w:w="2835"/>
            <w:tcBorders>
              <w:top w:val="single" w:sz="4" w:color="BFBFBF"/>
              <w:left w:val="single" w:sz="4" w:color="BFBFBF"/>
              <w:bottom w:val="single" w:sz="4" w:color="BFBFBF"/>
              <w:right w:val="single" w:sz="4" w:color="BFBFBF"/>
            </w:tcBorders>
            <w:vAlign w:val="center"/>
          </w:tcPr>
          <w:p>
            <w:r>
              <w:rPr>
                <w:rFonts w:ascii="Calibri" w:hAnsi="Calibri"/>
                <w:sz w:val="20"/>
              </w:rPr>
              <w:t>Second œuvre spécialisé</w:t>
            </w:r>
          </w:p>
        </w:tc>
        <w:tc>
          <w:tcPr>
            <w:tcW w:type="dxa" w:w="1984"/>
            <w:tcBorders>
              <w:top w:val="single" w:sz="4" w:color="BFBFBF"/>
              <w:left w:val="single" w:sz="4" w:color="BFBFBF"/>
              <w:bottom w:val="single" w:sz="4" w:color="BFBFBF"/>
              <w:right w:val="single" w:sz="4" w:color="BFBFBF"/>
            </w:tcBorders>
            <w:vAlign w:val="center"/>
          </w:tcPr>
          <w:p>
            <w:r>
              <w:rPr>
                <w:rFonts w:ascii="Calibri" w:hAnsi="Calibri"/>
                <w:sz w:val="20"/>
              </w:rPr>
              <w:t>15-25%</w:t>
            </w:r>
          </w:p>
        </w:tc>
        <w:tc>
          <w:tcPr>
            <w:tcW w:type="dxa" w:w="1984"/>
            <w:tcBorders>
              <w:top w:val="single" w:sz="4" w:color="BFBFBF"/>
              <w:left w:val="single" w:sz="4" w:color="BFBFBF"/>
              <w:bottom w:val="single" w:sz="4" w:color="BFBFBF"/>
              <w:right w:val="single" w:sz="4" w:color="BFBFBF"/>
            </w:tcBorders>
            <w:vAlign w:val="center"/>
          </w:tcPr>
          <w:p>
            <w:r>
              <w:rPr>
                <w:rFonts w:ascii="Calibri" w:hAnsi="Calibri"/>
                <w:sz w:val="20"/>
              </w:rPr>
              <w:t>3-9 mois</w:t>
            </w:r>
          </w:p>
        </w:tc>
        <w:tc>
          <w:tcPr>
            <w:tcW w:type="dxa" w:w="2268"/>
            <w:tcBorders>
              <w:top w:val="single" w:sz="4" w:color="BFBFBF"/>
              <w:left w:val="single" w:sz="4" w:color="BFBFBF"/>
              <w:bottom w:val="single" w:sz="4" w:color="BFBFBF"/>
              <w:right w:val="single" w:sz="4" w:color="BFBFBF"/>
            </w:tcBorders>
            <w:vAlign w:val="center"/>
          </w:tcPr>
          <w:p>
            <w:r>
              <w:rPr>
                <w:rFonts w:ascii="Calibri" w:hAnsi="Calibri"/>
                <w:sz w:val="20"/>
              </w:rPr>
              <w:t>60-90</w:t>
            </w:r>
          </w:p>
        </w:tc>
      </w:tr>
    </w:tbl>
    <w:p>
      <w:pPr>
        <w:spacing w:after="120"/>
      </w:pPr>
    </w:p>
    <w:p>
      <w:pPr>
        <w:pStyle w:val="Heading3"/>
        <w:spacing w:before="180" w:after="120"/>
      </w:pPr>
      <w:r>
        <w:rPr>
          <w:rFonts w:ascii="Calibri" w:hAnsi="Calibri"/>
          <w:b/>
          <w:color w:val="0A2540"/>
          <w:sz w:val="26"/>
        </w:rPr>
        <w:t>Spécificités fiscales et réglementaires</w:t>
      </w:r>
    </w:p>
    <w:p>
      <w:pPr>
        <w:pStyle w:val="ListBullet"/>
        <w:spacing w:after="60"/>
        <w:ind w:left="340"/>
      </w:pPr>
      <w:r>
        <w:rPr>
          <w:rFonts w:ascii="Calibri" w:hAnsi="Calibri"/>
          <w:sz w:val="22"/>
        </w:rPr>
        <w:t>IS standard zone UEMOA/CEMAC, parfois précompte de 2 à 5% sur les paiements État (acompte d'IS)</w:t>
      </w:r>
    </w:p>
    <w:p>
      <w:pPr>
        <w:pStyle w:val="ListBullet"/>
        <w:spacing w:after="60"/>
        <w:ind w:left="340"/>
      </w:pPr>
      <w:r>
        <w:rPr>
          <w:rFonts w:ascii="Calibri" w:hAnsi="Calibri"/>
          <w:sz w:val="22"/>
        </w:rPr>
        <w:t>Retenue à la source sur les paiements publics : 1,5 à 5% selon les pays</w:t>
      </w:r>
    </w:p>
    <w:p>
      <w:pPr>
        <w:pStyle w:val="ListBullet"/>
        <w:spacing w:after="60"/>
        <w:ind w:left="340"/>
      </w:pPr>
      <w:r>
        <w:rPr>
          <w:rFonts w:ascii="Calibri" w:hAnsi="Calibri"/>
          <w:sz w:val="22"/>
        </w:rPr>
        <w:t>TVA sur travaux : 18% (UEMOA), récupérable sur intrants ; certains marchés exonérés (BAD, BM)</w:t>
      </w:r>
    </w:p>
    <w:p>
      <w:pPr>
        <w:pStyle w:val="ListBullet"/>
        <w:spacing w:after="60"/>
        <w:ind w:left="340"/>
      </w:pPr>
      <w:r>
        <w:rPr>
          <w:rFonts w:ascii="Calibri" w:hAnsi="Calibri"/>
          <w:sz w:val="22"/>
        </w:rPr>
        <w:t>Régime fiscal des cautions bancaires : commissions déductibles ; contre-garanties non capitalisables</w:t>
      </w:r>
    </w:p>
    <w:p>
      <w:pPr>
        <w:pStyle w:val="ListBullet"/>
        <w:spacing w:after="60"/>
        <w:ind w:left="340"/>
      </w:pPr>
      <w:r>
        <w:rPr>
          <w:rFonts w:ascii="Calibri" w:hAnsi="Calibri"/>
          <w:sz w:val="22"/>
        </w:rPr>
        <w:t>Patente municipale variable selon CA, parfois lourde sur grands projets</w:t>
      </w:r>
    </w:p>
    <w:p>
      <w:pPr>
        <w:pStyle w:val="ListBullet"/>
        <w:spacing w:after="60"/>
        <w:ind w:left="340"/>
      </w:pPr>
      <w:r>
        <w:rPr>
          <w:rFonts w:ascii="Calibri" w:hAnsi="Calibri"/>
          <w:sz w:val="22"/>
        </w:rPr>
        <w:t>Charges sociales spécifiques BTP : caisse de retraite complémentaire, taxe formation, médecine du travail</w:t>
      </w:r>
    </w:p>
    <w:p>
      <w:pPr>
        <w:pStyle w:val="Heading3"/>
        <w:spacing w:before="180" w:after="120"/>
      </w:pPr>
      <w:r>
        <w:rPr>
          <w:rFonts w:ascii="Calibri" w:hAnsi="Calibri"/>
          <w:b/>
          <w:color w:val="0A2540"/>
          <w:sz w:val="26"/>
        </w:rPr>
        <w:t>Modèle de revenus et mécanique de reconnaissance</w:t>
      </w:r>
    </w:p>
    <w:p>
      <w:pPr>
        <w:spacing w:before="0" w:after="120"/>
        <w:jc w:val="both"/>
      </w:pPr>
      <w:r>
        <w:rPr>
          <w:rFonts w:ascii="Calibri" w:hAnsi="Calibri"/>
          <w:b w:val="0"/>
          <w:i w:val="0"/>
          <w:color w:val="000000"/>
          <w:sz w:val="22"/>
        </w:rPr>
        <w:t>Reconnaissance du revenu à l'avancement (Percentage of Completion — POC) selon IFRS 15 / SYSCOHADA. Le revenu est reconnu en fonction du pourcentage d'avancement des travaux, mesuré par la méthode des coûts encourus (coûts réels / coûts totaux estimés) ou par la méthode du jalon physique (volume produit / volume total).</w:t>
      </w:r>
    </w:p>
    <w:tbl>
      <w:tblPr>
        <w:tblW w:type="auto" w:w="0"/>
        <w:tblLook w:firstColumn="1" w:firstRow="1" w:lastColumn="0" w:lastRow="0" w:noHBand="0" w:noVBand="1" w:val="04A0"/>
      </w:tblPr>
      <w:tblGrid>
        <w:gridCol w:w="9406"/>
      </w:tblGrid>
      <w:tr>
        <w:tc>
          <w:tcPr>
            <w:tcW w:type="dxa" w:w="9406"/>
            <w:shd w:val="clear" w:color="auto" w:fill="D6E0EC"/>
            <w:tcBorders>
              <w:top w:val="single" w:sz="12" w:color="0A2540"/>
              <w:bottom w:val="single" w:sz="4" w:color="0A2540"/>
              <w:left w:val="single" w:sz="24" w:color="0A2540"/>
              <w:right w:val="single" w:sz="4" w:color="0A2540"/>
            </w:tcBorders>
          </w:tcPr>
          <w:p>
            <w:r>
              <w:rPr>
                <w:rFonts w:ascii="Calibri" w:hAnsi="Calibri"/>
                <w:b/>
                <w:color w:val="0A2540"/>
                <w:sz w:val="22"/>
              </w:rPr>
              <w:t>Décalages P&amp;L vs Trésorerie</w:t>
            </w:r>
          </w:p>
          <w:p>
            <w:pPr>
              <w:jc w:val="both"/>
            </w:pPr>
            <w:r>
              <w:rPr>
                <w:rFonts w:ascii="Calibri" w:hAnsi="Calibri"/>
                <w:sz w:val="22"/>
              </w:rPr>
              <w:t>Le BTP présente le plus grand écart entre comptable et cash : (1) Avance de démarrage (10-20%) reçue à signature → cash +, P&amp;L = 0 ; (2) Décompte mensuel certifié → CA reconnu, encaissement +90 à +180j ; (3) Retenue de garantie (5-10%) prélevée sur chaque décompte, libérée +12 mois après réception. Le modèle doit séparer rigoureusement CA reconnu et flux d'encaissement.</w:t>
            </w:r>
          </w:p>
        </w:tc>
      </w:tr>
    </w:tbl>
    <w:p>
      <w:pPr>
        <w:spacing w:after="120"/>
      </w:pPr>
    </w:p>
    <w:p>
      <w:pPr>
        <w:pStyle w:val="Heading3"/>
        <w:spacing w:before="180" w:after="120"/>
      </w:pPr>
      <w:r>
        <w:rPr>
          <w:rFonts w:ascii="Calibri" w:hAnsi="Calibri"/>
          <w:b/>
          <w:color w:val="0A2540"/>
          <w:sz w:val="26"/>
        </w:rPr>
        <w:t>Structure de coûts type</w:t>
      </w:r>
    </w:p>
    <w:tbl>
      <w:tblPr>
        <w:tblW w:type="auto" w:w="0"/>
        <w:jc w:val="center"/>
        <w:tblLayout w:type="fixed"/>
        <w:tblLook w:firstColumn="1" w:firstRow="1" w:lastColumn="0" w:lastRow="0" w:noHBand="0" w:noVBand="1" w:val="04A0"/>
      </w:tblPr>
      <w:tblGrid>
        <w:gridCol w:w="3135"/>
        <w:gridCol w:w="3135"/>
        <w:gridCol w:w="3135"/>
      </w:tblGrid>
      <w:tr>
        <w:tc>
          <w:tcPr>
            <w:tcW w:type="dxa" w:w="2268"/>
            <w:shd w:val="clear" w:color="auto" w:fill="0A2540"/>
            <w:tcBorders>
              <w:top w:val="single" w:sz="4" w:color="BFBFBF"/>
              <w:left w:val="single" w:sz="4" w:color="BFBFBF"/>
              <w:bottom w:val="single" w:sz="4" w:color="BFBFBF"/>
              <w:right w:val="single" w:sz="4" w:color="BFBFBF"/>
            </w:tcBorders>
            <w:vAlign w:val="center"/>
          </w:tcPr>
          <w:p>
            <w:pPr>
              <w:jc w:val="center"/>
            </w:pPr>
            <w:r>
              <w:rPr>
                <w:rFonts w:ascii="Calibri" w:hAnsi="Calibri"/>
                <w:b/>
                <w:color w:val="FFFFFF"/>
                <w:sz w:val="20"/>
              </w:rPr>
              <w:t>Poste</w:t>
            </w:r>
          </w:p>
        </w:tc>
        <w:tc>
          <w:tcPr>
            <w:tcW w:type="dxa" w:w="1984"/>
            <w:shd w:val="clear" w:color="auto" w:fill="0A2540"/>
            <w:tcBorders>
              <w:top w:val="single" w:sz="4" w:color="BFBFBF"/>
              <w:left w:val="single" w:sz="4" w:color="BFBFBF"/>
              <w:bottom w:val="single" w:sz="4" w:color="BFBFBF"/>
              <w:right w:val="single" w:sz="4" w:color="BFBFBF"/>
            </w:tcBorders>
            <w:vAlign w:val="center"/>
          </w:tcPr>
          <w:p>
            <w:pPr>
              <w:jc w:val="center"/>
            </w:pPr>
            <w:r>
              <w:rPr>
                <w:rFonts w:ascii="Calibri" w:hAnsi="Calibri"/>
                <w:b/>
                <w:color w:val="FFFFFF"/>
                <w:sz w:val="20"/>
              </w:rPr>
              <w:t>% des coûts directs</w:t>
            </w:r>
          </w:p>
        </w:tc>
        <w:tc>
          <w:tcPr>
            <w:tcW w:type="dxa" w:w="4819"/>
            <w:shd w:val="clear" w:color="auto" w:fill="0A2540"/>
            <w:tcBorders>
              <w:top w:val="single" w:sz="4" w:color="BFBFBF"/>
              <w:left w:val="single" w:sz="4" w:color="BFBFBF"/>
              <w:bottom w:val="single" w:sz="4" w:color="BFBFBF"/>
              <w:right w:val="single" w:sz="4" w:color="BFBFBF"/>
            </w:tcBorders>
            <w:vAlign w:val="center"/>
          </w:tcPr>
          <w:p>
            <w:pPr>
              <w:jc w:val="center"/>
            </w:pPr>
            <w:r>
              <w:rPr>
                <w:rFonts w:ascii="Calibri" w:hAnsi="Calibri"/>
                <w:b/>
                <w:color w:val="FFFFFF"/>
                <w:sz w:val="20"/>
              </w:rPr>
              <w:t>Commentaire</w:t>
            </w:r>
          </w:p>
        </w:tc>
      </w:tr>
      <w:tr>
        <w:tc>
          <w:tcPr>
            <w:tcW w:type="dxa" w:w="2268"/>
            <w:tcBorders>
              <w:top w:val="single" w:sz="4" w:color="BFBFBF"/>
              <w:left w:val="single" w:sz="4" w:color="BFBFBF"/>
              <w:bottom w:val="single" w:sz="4" w:color="BFBFBF"/>
              <w:right w:val="single" w:sz="4" w:color="BFBFBF"/>
            </w:tcBorders>
            <w:vAlign w:val="center"/>
          </w:tcPr>
          <w:p>
            <w:r>
              <w:rPr>
                <w:rFonts w:ascii="Calibri" w:hAnsi="Calibri"/>
                <w:sz w:val="20"/>
              </w:rPr>
              <w:t>Matériaux</w:t>
            </w:r>
          </w:p>
        </w:tc>
        <w:tc>
          <w:tcPr>
            <w:tcW w:type="dxa" w:w="1984"/>
            <w:tcBorders>
              <w:top w:val="single" w:sz="4" w:color="BFBFBF"/>
              <w:left w:val="single" w:sz="4" w:color="BFBFBF"/>
              <w:bottom w:val="single" w:sz="4" w:color="BFBFBF"/>
              <w:right w:val="single" w:sz="4" w:color="BFBFBF"/>
            </w:tcBorders>
            <w:vAlign w:val="center"/>
          </w:tcPr>
          <w:p>
            <w:r>
              <w:rPr>
                <w:rFonts w:ascii="Calibri" w:hAnsi="Calibri"/>
                <w:sz w:val="20"/>
              </w:rPr>
              <w:t>30-40%</w:t>
            </w:r>
          </w:p>
        </w:tc>
        <w:tc>
          <w:tcPr>
            <w:tcW w:type="dxa" w:w="4819"/>
            <w:tcBorders>
              <w:top w:val="single" w:sz="4" w:color="BFBFBF"/>
              <w:left w:val="single" w:sz="4" w:color="BFBFBF"/>
              <w:bottom w:val="single" w:sz="4" w:color="BFBFBF"/>
              <w:right w:val="single" w:sz="4" w:color="BFBFBF"/>
            </w:tcBorders>
            <w:vAlign w:val="center"/>
          </w:tcPr>
          <w:p>
            <w:r>
              <w:rPr>
                <w:rFonts w:ascii="Calibri" w:hAnsi="Calibri"/>
                <w:sz w:val="20"/>
              </w:rPr>
              <w:t>Ciment, acier, agrégats — exposition prix inflation</w:t>
            </w:r>
          </w:p>
        </w:tc>
      </w:tr>
      <w:tr>
        <w:tc>
          <w:tcPr>
            <w:tcW w:type="dxa" w:w="2268"/>
            <w:shd w:val="clear" w:color="auto" w:fill="F2F2F2"/>
            <w:tcBorders>
              <w:top w:val="single" w:sz="4" w:color="BFBFBF"/>
              <w:left w:val="single" w:sz="4" w:color="BFBFBF"/>
              <w:bottom w:val="single" w:sz="4" w:color="BFBFBF"/>
              <w:right w:val="single" w:sz="4" w:color="BFBFBF"/>
            </w:tcBorders>
            <w:vAlign w:val="center"/>
          </w:tcPr>
          <w:p>
            <w:r>
              <w:rPr>
                <w:rFonts w:ascii="Calibri" w:hAnsi="Calibri"/>
                <w:sz w:val="20"/>
              </w:rPr>
              <w:t>Main d'œuvre directe</w:t>
            </w:r>
          </w:p>
        </w:tc>
        <w:tc>
          <w:tcPr>
            <w:tcW w:type="dxa" w:w="1984"/>
            <w:shd w:val="clear" w:color="auto" w:fill="F2F2F2"/>
            <w:tcBorders>
              <w:top w:val="single" w:sz="4" w:color="BFBFBF"/>
              <w:left w:val="single" w:sz="4" w:color="BFBFBF"/>
              <w:bottom w:val="single" w:sz="4" w:color="BFBFBF"/>
              <w:right w:val="single" w:sz="4" w:color="BFBFBF"/>
            </w:tcBorders>
            <w:vAlign w:val="center"/>
          </w:tcPr>
          <w:p>
            <w:r>
              <w:rPr>
                <w:rFonts w:ascii="Calibri" w:hAnsi="Calibri"/>
                <w:sz w:val="20"/>
              </w:rPr>
              <w:t>20-30%</w:t>
            </w:r>
          </w:p>
        </w:tc>
        <w:tc>
          <w:tcPr>
            <w:tcW w:type="dxa" w:w="4819"/>
            <w:shd w:val="clear" w:color="auto" w:fill="F2F2F2"/>
            <w:tcBorders>
              <w:top w:val="single" w:sz="4" w:color="BFBFBF"/>
              <w:left w:val="single" w:sz="4" w:color="BFBFBF"/>
              <w:bottom w:val="single" w:sz="4" w:color="BFBFBF"/>
              <w:right w:val="single" w:sz="4" w:color="BFBFBF"/>
            </w:tcBorders>
            <w:vAlign w:val="center"/>
          </w:tcPr>
          <w:p>
            <w:r>
              <w:rPr>
                <w:rFonts w:ascii="Calibri" w:hAnsi="Calibri"/>
                <w:sz w:val="20"/>
              </w:rPr>
              <w:t>Ouvriers, chefs d'équipe — variable selon mécanisation</w:t>
            </w:r>
          </w:p>
        </w:tc>
      </w:tr>
      <w:tr>
        <w:tc>
          <w:tcPr>
            <w:tcW w:type="dxa" w:w="2268"/>
            <w:tcBorders>
              <w:top w:val="single" w:sz="4" w:color="BFBFBF"/>
              <w:left w:val="single" w:sz="4" w:color="BFBFBF"/>
              <w:bottom w:val="single" w:sz="4" w:color="BFBFBF"/>
              <w:right w:val="single" w:sz="4" w:color="BFBFBF"/>
            </w:tcBorders>
            <w:vAlign w:val="center"/>
          </w:tcPr>
          <w:p>
            <w:r>
              <w:rPr>
                <w:rFonts w:ascii="Calibri" w:hAnsi="Calibri"/>
                <w:sz w:val="20"/>
              </w:rPr>
              <w:t>Sous-traitance</w:t>
            </w:r>
          </w:p>
        </w:tc>
        <w:tc>
          <w:tcPr>
            <w:tcW w:type="dxa" w:w="1984"/>
            <w:tcBorders>
              <w:top w:val="single" w:sz="4" w:color="BFBFBF"/>
              <w:left w:val="single" w:sz="4" w:color="BFBFBF"/>
              <w:bottom w:val="single" w:sz="4" w:color="BFBFBF"/>
              <w:right w:val="single" w:sz="4" w:color="BFBFBF"/>
            </w:tcBorders>
            <w:vAlign w:val="center"/>
          </w:tcPr>
          <w:p>
            <w:r>
              <w:rPr>
                <w:rFonts w:ascii="Calibri" w:hAnsi="Calibri"/>
                <w:sz w:val="20"/>
              </w:rPr>
              <w:t>15-30%</w:t>
            </w:r>
          </w:p>
        </w:tc>
        <w:tc>
          <w:tcPr>
            <w:tcW w:type="dxa" w:w="4819"/>
            <w:tcBorders>
              <w:top w:val="single" w:sz="4" w:color="BFBFBF"/>
              <w:left w:val="single" w:sz="4" w:color="BFBFBF"/>
              <w:bottom w:val="single" w:sz="4" w:color="BFBFBF"/>
              <w:right w:val="single" w:sz="4" w:color="BFBFBF"/>
            </w:tcBorders>
            <w:vAlign w:val="center"/>
          </w:tcPr>
          <w:p>
            <w:r>
              <w:rPr>
                <w:rFonts w:ascii="Calibri" w:hAnsi="Calibri"/>
                <w:sz w:val="20"/>
              </w:rPr>
              <w:t>Lots techniques (électricité, plomberie, climatisation)</w:t>
            </w:r>
          </w:p>
        </w:tc>
      </w:tr>
      <w:tr>
        <w:tc>
          <w:tcPr>
            <w:tcW w:type="dxa" w:w="2268"/>
            <w:shd w:val="clear" w:color="auto" w:fill="F2F2F2"/>
            <w:tcBorders>
              <w:top w:val="single" w:sz="4" w:color="BFBFBF"/>
              <w:left w:val="single" w:sz="4" w:color="BFBFBF"/>
              <w:bottom w:val="single" w:sz="4" w:color="BFBFBF"/>
              <w:right w:val="single" w:sz="4" w:color="BFBFBF"/>
            </w:tcBorders>
            <w:vAlign w:val="center"/>
          </w:tcPr>
          <w:p>
            <w:r>
              <w:rPr>
                <w:rFonts w:ascii="Calibri" w:hAnsi="Calibri"/>
                <w:sz w:val="20"/>
              </w:rPr>
              <w:t>Matériel &amp; engins</w:t>
            </w:r>
          </w:p>
        </w:tc>
        <w:tc>
          <w:tcPr>
            <w:tcW w:type="dxa" w:w="1984"/>
            <w:shd w:val="clear" w:color="auto" w:fill="F2F2F2"/>
            <w:tcBorders>
              <w:top w:val="single" w:sz="4" w:color="BFBFBF"/>
              <w:left w:val="single" w:sz="4" w:color="BFBFBF"/>
              <w:bottom w:val="single" w:sz="4" w:color="BFBFBF"/>
              <w:right w:val="single" w:sz="4" w:color="BFBFBF"/>
            </w:tcBorders>
            <w:vAlign w:val="center"/>
          </w:tcPr>
          <w:p>
            <w:r>
              <w:rPr>
                <w:rFonts w:ascii="Calibri" w:hAnsi="Calibri"/>
                <w:sz w:val="20"/>
              </w:rPr>
              <w:t>8-15%</w:t>
            </w:r>
          </w:p>
        </w:tc>
        <w:tc>
          <w:tcPr>
            <w:tcW w:type="dxa" w:w="4819"/>
            <w:shd w:val="clear" w:color="auto" w:fill="F2F2F2"/>
            <w:tcBorders>
              <w:top w:val="single" w:sz="4" w:color="BFBFBF"/>
              <w:left w:val="single" w:sz="4" w:color="BFBFBF"/>
              <w:bottom w:val="single" w:sz="4" w:color="BFBFBF"/>
              <w:right w:val="single" w:sz="4" w:color="BFBFBF"/>
            </w:tcBorders>
            <w:vAlign w:val="center"/>
          </w:tcPr>
          <w:p>
            <w:r>
              <w:rPr>
                <w:rFonts w:ascii="Calibri" w:hAnsi="Calibri"/>
                <w:sz w:val="20"/>
              </w:rPr>
              <w:t>Amortissement + location + carburant + maintenance</w:t>
            </w:r>
          </w:p>
        </w:tc>
      </w:tr>
      <w:tr>
        <w:tc>
          <w:tcPr>
            <w:tcW w:type="dxa" w:w="2268"/>
            <w:tcBorders>
              <w:top w:val="single" w:sz="4" w:color="BFBFBF"/>
              <w:left w:val="single" w:sz="4" w:color="BFBFBF"/>
              <w:bottom w:val="single" w:sz="4" w:color="BFBFBF"/>
              <w:right w:val="single" w:sz="4" w:color="BFBFBF"/>
            </w:tcBorders>
            <w:vAlign w:val="center"/>
          </w:tcPr>
          <w:p>
            <w:r>
              <w:rPr>
                <w:rFonts w:ascii="Calibri" w:hAnsi="Calibri"/>
                <w:sz w:val="20"/>
              </w:rPr>
              <w:t>Frais de chantier</w:t>
            </w:r>
          </w:p>
        </w:tc>
        <w:tc>
          <w:tcPr>
            <w:tcW w:type="dxa" w:w="1984"/>
            <w:tcBorders>
              <w:top w:val="single" w:sz="4" w:color="BFBFBF"/>
              <w:left w:val="single" w:sz="4" w:color="BFBFBF"/>
              <w:bottom w:val="single" w:sz="4" w:color="BFBFBF"/>
              <w:right w:val="single" w:sz="4" w:color="BFBFBF"/>
            </w:tcBorders>
            <w:vAlign w:val="center"/>
          </w:tcPr>
          <w:p>
            <w:r>
              <w:rPr>
                <w:rFonts w:ascii="Calibri" w:hAnsi="Calibri"/>
                <w:sz w:val="20"/>
              </w:rPr>
              <w:t>5-10%</w:t>
            </w:r>
          </w:p>
        </w:tc>
        <w:tc>
          <w:tcPr>
            <w:tcW w:type="dxa" w:w="4819"/>
            <w:tcBorders>
              <w:top w:val="single" w:sz="4" w:color="BFBFBF"/>
              <w:left w:val="single" w:sz="4" w:color="BFBFBF"/>
              <w:bottom w:val="single" w:sz="4" w:color="BFBFBF"/>
              <w:right w:val="single" w:sz="4" w:color="BFBFBF"/>
            </w:tcBorders>
            <w:vAlign w:val="center"/>
          </w:tcPr>
          <w:p>
            <w:r>
              <w:rPr>
                <w:rFonts w:ascii="Calibri" w:hAnsi="Calibri"/>
                <w:sz w:val="20"/>
              </w:rPr>
              <w:t>Installation, encadrement, sécurité, base-vie</w:t>
            </w:r>
          </w:p>
        </w:tc>
      </w:tr>
    </w:tbl>
    <w:p>
      <w:pPr>
        <w:spacing w:after="120"/>
      </w:pPr>
    </w:p>
    <w:p>
      <w:pPr>
        <w:pStyle w:val="Heading3"/>
        <w:spacing w:before="180" w:after="120"/>
      </w:pPr>
      <w:r>
        <w:rPr>
          <w:rFonts w:ascii="Calibri" w:hAnsi="Calibri"/>
          <w:b/>
          <w:color w:val="0A2540"/>
          <w:sz w:val="26"/>
        </w:rPr>
        <w:t>Hypothèses clés (intrants paramétrables)</w:t>
      </w:r>
    </w:p>
    <w:p>
      <w:pPr>
        <w:pStyle w:val="ListBullet"/>
        <w:spacing w:after="60"/>
        <w:ind w:left="340"/>
      </w:pPr>
      <w:r>
        <w:rPr>
          <w:rFonts w:ascii="Calibri" w:hAnsi="Calibri"/>
          <w:sz w:val="22"/>
        </w:rPr>
        <w:t>Pipeline commercial : nombre d'AO soumis / an, hit-rate, valeur moyenne chantier, durée moyenne</w:t>
      </w:r>
    </w:p>
    <w:p>
      <w:pPr>
        <w:pStyle w:val="ListBullet"/>
        <w:spacing w:after="60"/>
        <w:ind w:left="340"/>
      </w:pPr>
      <w:r>
        <w:rPr>
          <w:rFonts w:ascii="Calibri" w:hAnsi="Calibri"/>
          <w:sz w:val="22"/>
        </w:rPr>
        <w:t>Backlog initial (carnet de commandes à l'ouverture)</w:t>
      </w:r>
    </w:p>
    <w:p>
      <w:pPr>
        <w:pStyle w:val="ListBullet"/>
        <w:spacing w:after="60"/>
        <w:ind w:left="340"/>
      </w:pPr>
      <w:r>
        <w:rPr>
          <w:rFonts w:ascii="Calibri" w:hAnsi="Calibri"/>
          <w:sz w:val="22"/>
        </w:rPr>
        <w:t>Marge brute chantier visée par sous-secteur, avenants &amp; révision prix (% du marché)</w:t>
      </w:r>
    </w:p>
    <w:p>
      <w:pPr>
        <w:pStyle w:val="ListBullet"/>
        <w:spacing w:after="60"/>
        <w:ind w:left="340"/>
      </w:pPr>
      <w:r>
        <w:rPr>
          <w:rFonts w:ascii="Calibri" w:hAnsi="Calibri"/>
          <w:sz w:val="22"/>
        </w:rPr>
        <w:t>Décomposition coûts directs : matériaux, MOD, ST, matériel, frais de chantier</w:t>
      </w:r>
    </w:p>
    <w:p>
      <w:pPr>
        <w:pStyle w:val="ListBullet"/>
        <w:spacing w:after="60"/>
        <w:ind w:left="340"/>
      </w:pPr>
      <w:r>
        <w:rPr>
          <w:rFonts w:ascii="Calibri" w:hAnsi="Calibri"/>
          <w:sz w:val="22"/>
        </w:rPr>
        <w:t>Sous-traitance : mark-up retenu, part en cotraitance, quote-part groupements, RG sur ST</w:t>
      </w:r>
    </w:p>
    <w:p>
      <w:pPr>
        <w:pStyle w:val="ListBullet"/>
        <w:spacing w:after="60"/>
        <w:ind w:left="340"/>
      </w:pPr>
      <w:r>
        <w:rPr>
          <w:rFonts w:ascii="Calibri" w:hAnsi="Calibri"/>
          <w:sz w:val="22"/>
        </w:rPr>
        <w:t>BFR : avance démarrage, retenue garantie, délai libération RG, DSO Etat, DPO fournisseurs, DPO ST</w:t>
      </w:r>
    </w:p>
    <w:p>
      <w:pPr>
        <w:pStyle w:val="ListBullet"/>
        <w:spacing w:after="60"/>
        <w:ind w:left="340"/>
      </w:pPr>
      <w:r>
        <w:rPr>
          <w:rFonts w:ascii="Calibri" w:hAnsi="Calibri"/>
          <w:sz w:val="22"/>
        </w:rPr>
        <w:t>Cautions bancaires : soumission, restitution avance, bonne fin, retenue garantie, commission annuelle, contre-garantie cash</w:t>
      </w:r>
    </w:p>
    <w:p>
      <w:pPr>
        <w:pStyle w:val="ListBullet"/>
        <w:spacing w:after="60"/>
        <w:ind w:left="340"/>
      </w:pPr>
      <w:r>
        <w:rPr>
          <w:rFonts w:ascii="Calibri" w:hAnsi="Calibri"/>
          <w:sz w:val="22"/>
        </w:rPr>
        <w:t>Parc matériel : valeur initiale, CAPEX annuel, durée amort, coût location, OPEX, taux utilisation</w:t>
      </w:r>
    </w:p>
    <w:p>
      <w:pPr>
        <w:pStyle w:val="ListBullet"/>
        <w:spacing w:after="60"/>
        <w:ind w:left="340"/>
      </w:pPr>
      <w:r>
        <w:rPr>
          <w:rFonts w:ascii="Calibri" w:hAnsi="Calibri"/>
          <w:sz w:val="22"/>
        </w:rPr>
        <w:t>Masse salariale structure : ETP par catégorie (direction, BE, encadrement, support), salaires chargés</w:t>
      </w:r>
    </w:p>
    <w:p>
      <w:pPr>
        <w:pStyle w:val="Heading3"/>
        <w:spacing w:before="180" w:after="120"/>
      </w:pPr>
      <w:r>
        <w:rPr>
          <w:rFonts w:ascii="Calibri" w:hAnsi="Calibri"/>
          <w:b/>
          <w:color w:val="0A2540"/>
          <w:sz w:val="26"/>
        </w:rPr>
        <w:t>Règles de calcul critiques</w:t>
      </w:r>
    </w:p>
    <w:tbl>
      <w:tblPr>
        <w:tblW w:type="auto" w:w="0"/>
        <w:jc w:val="center"/>
        <w:tblLayout w:type="fixed"/>
        <w:tblLook w:firstColumn="1" w:firstRow="1" w:lastColumn="0" w:lastRow="0" w:noHBand="0" w:noVBand="1" w:val="04A0"/>
      </w:tblPr>
      <w:tblGrid>
        <w:gridCol w:w="3135"/>
        <w:gridCol w:w="3135"/>
        <w:gridCol w:w="3135"/>
      </w:tblGrid>
      <w:tr>
        <w:tc>
          <w:tcPr>
            <w:tcW w:type="dxa" w:w="2551"/>
            <w:shd w:val="clear" w:color="auto" w:fill="0A2540"/>
            <w:tcBorders>
              <w:top w:val="single" w:sz="4" w:color="BFBFBF"/>
              <w:left w:val="single" w:sz="4" w:color="BFBFBF"/>
              <w:bottom w:val="single" w:sz="4" w:color="BFBFBF"/>
              <w:right w:val="single" w:sz="4" w:color="BFBFBF"/>
            </w:tcBorders>
            <w:vAlign w:val="center"/>
          </w:tcPr>
          <w:p>
            <w:pPr>
              <w:jc w:val="center"/>
            </w:pPr>
            <w:r>
              <w:rPr>
                <w:rFonts w:ascii="Calibri" w:hAnsi="Calibri"/>
                <w:b/>
                <w:color w:val="FFFFFF"/>
                <w:sz w:val="20"/>
              </w:rPr>
              <w:t>Calcul</w:t>
            </w:r>
          </w:p>
        </w:tc>
        <w:tc>
          <w:tcPr>
            <w:tcW w:type="dxa" w:w="4819"/>
            <w:shd w:val="clear" w:color="auto" w:fill="0A2540"/>
            <w:tcBorders>
              <w:top w:val="single" w:sz="4" w:color="BFBFBF"/>
              <w:left w:val="single" w:sz="4" w:color="BFBFBF"/>
              <w:bottom w:val="single" w:sz="4" w:color="BFBFBF"/>
              <w:right w:val="single" w:sz="4" w:color="BFBFBF"/>
            </w:tcBorders>
            <w:vAlign w:val="center"/>
          </w:tcPr>
          <w:p>
            <w:pPr>
              <w:jc w:val="center"/>
            </w:pPr>
            <w:r>
              <w:rPr>
                <w:rFonts w:ascii="Calibri" w:hAnsi="Calibri"/>
                <w:b/>
                <w:color w:val="FFFFFF"/>
                <w:sz w:val="20"/>
              </w:rPr>
              <w:t>Formule type</w:t>
            </w:r>
          </w:p>
        </w:tc>
        <w:tc>
          <w:tcPr>
            <w:tcW w:type="dxa" w:w="1701"/>
            <w:shd w:val="clear" w:color="auto" w:fill="0A2540"/>
            <w:tcBorders>
              <w:top w:val="single" w:sz="4" w:color="BFBFBF"/>
              <w:left w:val="single" w:sz="4" w:color="BFBFBF"/>
              <w:bottom w:val="single" w:sz="4" w:color="BFBFBF"/>
              <w:right w:val="single" w:sz="4" w:color="BFBFBF"/>
            </w:tcBorders>
            <w:vAlign w:val="center"/>
          </w:tcPr>
          <w:p>
            <w:pPr>
              <w:jc w:val="center"/>
            </w:pPr>
            <w:r>
              <w:rPr>
                <w:rFonts w:ascii="Calibri" w:hAnsi="Calibri"/>
                <w:b/>
                <w:color w:val="FFFFFF"/>
                <w:sz w:val="20"/>
              </w:rPr>
              <w:t>Norme</w:t>
            </w:r>
          </w:p>
        </w:tc>
      </w:tr>
      <w:tr>
        <w:tc>
          <w:tcPr>
            <w:tcW w:type="dxa" w:w="2551"/>
            <w:tcBorders>
              <w:top w:val="single" w:sz="4" w:color="BFBFBF"/>
              <w:left w:val="single" w:sz="4" w:color="BFBFBF"/>
              <w:bottom w:val="single" w:sz="4" w:color="BFBFBF"/>
              <w:right w:val="single" w:sz="4" w:color="BFBFBF"/>
            </w:tcBorders>
            <w:vAlign w:val="center"/>
          </w:tcPr>
          <w:p>
            <w:r>
              <w:rPr>
                <w:rFonts w:ascii="Calibri" w:hAnsi="Calibri"/>
                <w:sz w:val="20"/>
              </w:rPr>
              <w:t>% avancement (POC)</w:t>
            </w:r>
          </w:p>
        </w:tc>
        <w:tc>
          <w:tcPr>
            <w:tcW w:type="dxa" w:w="4819"/>
            <w:tcBorders>
              <w:top w:val="single" w:sz="4" w:color="BFBFBF"/>
              <w:left w:val="single" w:sz="4" w:color="BFBFBF"/>
              <w:bottom w:val="single" w:sz="4" w:color="BFBFBF"/>
              <w:right w:val="single" w:sz="4" w:color="BFBFBF"/>
            </w:tcBorders>
            <w:vAlign w:val="center"/>
          </w:tcPr>
          <w:p>
            <w:r>
              <w:rPr>
                <w:rFonts w:ascii="Calibri" w:hAnsi="Calibri"/>
                <w:sz w:val="20"/>
              </w:rPr>
              <w:t>Coûts encourus / Coûts totaux estimés</w:t>
            </w:r>
          </w:p>
        </w:tc>
        <w:tc>
          <w:tcPr>
            <w:tcW w:type="dxa" w:w="1701"/>
            <w:tcBorders>
              <w:top w:val="single" w:sz="4" w:color="BFBFBF"/>
              <w:left w:val="single" w:sz="4" w:color="BFBFBF"/>
              <w:bottom w:val="single" w:sz="4" w:color="BFBFBF"/>
              <w:right w:val="single" w:sz="4" w:color="BFBFBF"/>
            </w:tcBorders>
            <w:vAlign w:val="center"/>
          </w:tcPr>
          <w:p>
            <w:r>
              <w:rPr>
                <w:rFonts w:ascii="Calibri" w:hAnsi="Calibri"/>
                <w:sz w:val="20"/>
              </w:rPr>
              <w:t>IFRS 15</w:t>
            </w:r>
          </w:p>
        </w:tc>
      </w:tr>
      <w:tr>
        <w:tc>
          <w:tcPr>
            <w:tcW w:type="dxa" w:w="2551"/>
            <w:shd w:val="clear" w:color="auto" w:fill="F2F2F2"/>
            <w:tcBorders>
              <w:top w:val="single" w:sz="4" w:color="BFBFBF"/>
              <w:left w:val="single" w:sz="4" w:color="BFBFBF"/>
              <w:bottom w:val="single" w:sz="4" w:color="BFBFBF"/>
              <w:right w:val="single" w:sz="4" w:color="BFBFBF"/>
            </w:tcBorders>
            <w:vAlign w:val="center"/>
          </w:tcPr>
          <w:p>
            <w:r>
              <w:rPr>
                <w:rFonts w:ascii="Calibri" w:hAnsi="Calibri"/>
                <w:sz w:val="20"/>
              </w:rPr>
              <w:t>CA reconnu (mois)</w:t>
            </w:r>
          </w:p>
        </w:tc>
        <w:tc>
          <w:tcPr>
            <w:tcW w:type="dxa" w:w="4819"/>
            <w:shd w:val="clear" w:color="auto" w:fill="F2F2F2"/>
            <w:tcBorders>
              <w:top w:val="single" w:sz="4" w:color="BFBFBF"/>
              <w:left w:val="single" w:sz="4" w:color="BFBFBF"/>
              <w:bottom w:val="single" w:sz="4" w:color="BFBFBF"/>
              <w:right w:val="single" w:sz="4" w:color="BFBFBF"/>
            </w:tcBorders>
            <w:vAlign w:val="center"/>
          </w:tcPr>
          <w:p>
            <w:r>
              <w:rPr>
                <w:rFonts w:ascii="Calibri" w:hAnsi="Calibri"/>
                <w:sz w:val="20"/>
              </w:rPr>
              <w:t>% avancement × Valeur marché × Δ avancement</w:t>
            </w:r>
          </w:p>
        </w:tc>
        <w:tc>
          <w:tcPr>
            <w:tcW w:type="dxa" w:w="1701"/>
            <w:shd w:val="clear" w:color="auto" w:fill="F2F2F2"/>
            <w:tcBorders>
              <w:top w:val="single" w:sz="4" w:color="BFBFBF"/>
              <w:left w:val="single" w:sz="4" w:color="BFBFBF"/>
              <w:bottom w:val="single" w:sz="4" w:color="BFBFBF"/>
              <w:right w:val="single" w:sz="4" w:color="BFBFBF"/>
            </w:tcBorders>
            <w:vAlign w:val="center"/>
          </w:tcPr>
          <w:p>
            <w:r>
              <w:rPr>
                <w:rFonts w:ascii="Calibri" w:hAnsi="Calibri"/>
                <w:sz w:val="20"/>
              </w:rPr>
              <w:t>IFRS 15 / SYSCOHADA</w:t>
            </w:r>
          </w:p>
        </w:tc>
      </w:tr>
      <w:tr>
        <w:tc>
          <w:tcPr>
            <w:tcW w:type="dxa" w:w="2551"/>
            <w:tcBorders>
              <w:top w:val="single" w:sz="4" w:color="BFBFBF"/>
              <w:left w:val="single" w:sz="4" w:color="BFBFBF"/>
              <w:bottom w:val="single" w:sz="4" w:color="BFBFBF"/>
              <w:right w:val="single" w:sz="4" w:color="BFBFBF"/>
            </w:tcBorders>
            <w:vAlign w:val="center"/>
          </w:tcPr>
          <w:p>
            <w:r>
              <w:rPr>
                <w:rFonts w:ascii="Calibri" w:hAnsi="Calibri"/>
                <w:sz w:val="20"/>
              </w:rPr>
              <w:t>Retenue garantie prélevée</w:t>
            </w:r>
          </w:p>
        </w:tc>
        <w:tc>
          <w:tcPr>
            <w:tcW w:type="dxa" w:w="4819"/>
            <w:tcBorders>
              <w:top w:val="single" w:sz="4" w:color="BFBFBF"/>
              <w:left w:val="single" w:sz="4" w:color="BFBFBF"/>
              <w:bottom w:val="single" w:sz="4" w:color="BFBFBF"/>
              <w:right w:val="single" w:sz="4" w:color="BFBFBF"/>
            </w:tcBorders>
            <w:vAlign w:val="center"/>
          </w:tcPr>
          <w:p>
            <w:r>
              <w:rPr>
                <w:rFonts w:ascii="Calibri" w:hAnsi="Calibri"/>
                <w:sz w:val="20"/>
              </w:rPr>
              <w:t>Décompte brut × taux RG</w:t>
            </w:r>
          </w:p>
        </w:tc>
        <w:tc>
          <w:tcPr>
            <w:tcW w:type="dxa" w:w="1701"/>
            <w:tcBorders>
              <w:top w:val="single" w:sz="4" w:color="BFBFBF"/>
              <w:left w:val="single" w:sz="4" w:color="BFBFBF"/>
              <w:bottom w:val="single" w:sz="4" w:color="BFBFBF"/>
              <w:right w:val="single" w:sz="4" w:color="BFBFBF"/>
            </w:tcBorders>
            <w:vAlign w:val="center"/>
          </w:tcPr>
          <w:p>
            <w:r>
              <w:rPr>
                <w:rFonts w:ascii="Calibri" w:hAnsi="Calibri"/>
                <w:sz w:val="20"/>
              </w:rPr>
              <w:t>Contractuel</w:t>
            </w:r>
          </w:p>
        </w:tc>
      </w:tr>
      <w:tr>
        <w:tc>
          <w:tcPr>
            <w:tcW w:type="dxa" w:w="2551"/>
            <w:shd w:val="clear" w:color="auto" w:fill="F2F2F2"/>
            <w:tcBorders>
              <w:top w:val="single" w:sz="4" w:color="BFBFBF"/>
              <w:left w:val="single" w:sz="4" w:color="BFBFBF"/>
              <w:bottom w:val="single" w:sz="4" w:color="BFBFBF"/>
              <w:right w:val="single" w:sz="4" w:color="BFBFBF"/>
            </w:tcBorders>
            <w:vAlign w:val="center"/>
          </w:tcPr>
          <w:p>
            <w:r>
              <w:rPr>
                <w:rFonts w:ascii="Calibri" w:hAnsi="Calibri"/>
                <w:sz w:val="20"/>
              </w:rPr>
              <w:t>Encaissement effectif</w:t>
            </w:r>
          </w:p>
        </w:tc>
        <w:tc>
          <w:tcPr>
            <w:tcW w:type="dxa" w:w="4819"/>
            <w:shd w:val="clear" w:color="auto" w:fill="F2F2F2"/>
            <w:tcBorders>
              <w:top w:val="single" w:sz="4" w:color="BFBFBF"/>
              <w:left w:val="single" w:sz="4" w:color="BFBFBF"/>
              <w:bottom w:val="single" w:sz="4" w:color="BFBFBF"/>
              <w:right w:val="single" w:sz="4" w:color="BFBFBF"/>
            </w:tcBorders>
            <w:vAlign w:val="center"/>
          </w:tcPr>
          <w:p>
            <w:r>
              <w:rPr>
                <w:rFonts w:ascii="Calibri" w:hAnsi="Calibri"/>
                <w:sz w:val="20"/>
              </w:rPr>
              <w:t>Décompte net (n - DSO/30)</w:t>
            </w:r>
          </w:p>
        </w:tc>
        <w:tc>
          <w:tcPr>
            <w:tcW w:type="dxa" w:w="1701"/>
            <w:shd w:val="clear" w:color="auto" w:fill="F2F2F2"/>
            <w:tcBorders>
              <w:top w:val="single" w:sz="4" w:color="BFBFBF"/>
              <w:left w:val="single" w:sz="4" w:color="BFBFBF"/>
              <w:bottom w:val="single" w:sz="4" w:color="BFBFBF"/>
              <w:right w:val="single" w:sz="4" w:color="BFBFBF"/>
            </w:tcBorders>
            <w:vAlign w:val="center"/>
          </w:tcPr>
          <w:p>
            <w:r>
              <w:rPr>
                <w:rFonts w:ascii="Calibri" w:hAnsi="Calibri"/>
                <w:sz w:val="20"/>
              </w:rPr>
              <w:t>Flux</w:t>
            </w:r>
          </w:p>
        </w:tc>
      </w:tr>
      <w:tr>
        <w:tc>
          <w:tcPr>
            <w:tcW w:type="dxa" w:w="2551"/>
            <w:tcBorders>
              <w:top w:val="single" w:sz="4" w:color="BFBFBF"/>
              <w:left w:val="single" w:sz="4" w:color="BFBFBF"/>
              <w:bottom w:val="single" w:sz="4" w:color="BFBFBF"/>
              <w:right w:val="single" w:sz="4" w:color="BFBFBF"/>
            </w:tcBorders>
            <w:vAlign w:val="center"/>
          </w:tcPr>
          <w:p>
            <w:r>
              <w:rPr>
                <w:rFonts w:ascii="Calibri" w:hAnsi="Calibri"/>
                <w:sz w:val="20"/>
              </w:rPr>
              <w:t>Encours caution RG</w:t>
            </w:r>
          </w:p>
        </w:tc>
        <w:tc>
          <w:tcPr>
            <w:tcW w:type="dxa" w:w="4819"/>
            <w:tcBorders>
              <w:top w:val="single" w:sz="4" w:color="BFBFBF"/>
              <w:left w:val="single" w:sz="4" w:color="BFBFBF"/>
              <w:bottom w:val="single" w:sz="4" w:color="BFBFBF"/>
              <w:right w:val="single" w:sz="4" w:color="BFBFBF"/>
            </w:tcBorders>
            <w:vAlign w:val="center"/>
          </w:tcPr>
          <w:p>
            <w:r>
              <w:rPr>
                <w:rFonts w:ascii="Calibri" w:hAnsi="Calibri"/>
                <w:sz w:val="20"/>
              </w:rPr>
              <w:t>RG prélevée cumulée non libérée</w:t>
            </w:r>
          </w:p>
        </w:tc>
        <w:tc>
          <w:tcPr>
            <w:tcW w:type="dxa" w:w="1701"/>
            <w:tcBorders>
              <w:top w:val="single" w:sz="4" w:color="BFBFBF"/>
              <w:left w:val="single" w:sz="4" w:color="BFBFBF"/>
              <w:bottom w:val="single" w:sz="4" w:color="BFBFBF"/>
              <w:right w:val="single" w:sz="4" w:color="BFBFBF"/>
            </w:tcBorders>
            <w:vAlign w:val="center"/>
          </w:tcPr>
          <w:p>
            <w:r>
              <w:rPr>
                <w:rFonts w:ascii="Calibri" w:hAnsi="Calibri"/>
                <w:sz w:val="20"/>
              </w:rPr>
              <w:t>Hors bilan</w:t>
            </w:r>
          </w:p>
        </w:tc>
      </w:tr>
      <w:tr>
        <w:tc>
          <w:tcPr>
            <w:tcW w:type="dxa" w:w="2551"/>
            <w:shd w:val="clear" w:color="auto" w:fill="F2F2F2"/>
            <w:tcBorders>
              <w:top w:val="single" w:sz="4" w:color="BFBFBF"/>
              <w:left w:val="single" w:sz="4" w:color="BFBFBF"/>
              <w:bottom w:val="single" w:sz="4" w:color="BFBFBF"/>
              <w:right w:val="single" w:sz="4" w:color="BFBFBF"/>
            </w:tcBorders>
            <w:vAlign w:val="center"/>
          </w:tcPr>
          <w:p>
            <w:r>
              <w:rPr>
                <w:rFonts w:ascii="Calibri" w:hAnsi="Calibri"/>
                <w:sz w:val="20"/>
              </w:rPr>
              <w:t>Coût commission cautions</w:t>
            </w:r>
          </w:p>
        </w:tc>
        <w:tc>
          <w:tcPr>
            <w:tcW w:type="dxa" w:w="4819"/>
            <w:shd w:val="clear" w:color="auto" w:fill="F2F2F2"/>
            <w:tcBorders>
              <w:top w:val="single" w:sz="4" w:color="BFBFBF"/>
              <w:left w:val="single" w:sz="4" w:color="BFBFBF"/>
              <w:bottom w:val="single" w:sz="4" w:color="BFBFBF"/>
              <w:right w:val="single" w:sz="4" w:color="BFBFBF"/>
            </w:tcBorders>
            <w:vAlign w:val="center"/>
          </w:tcPr>
          <w:p>
            <w:r>
              <w:rPr>
                <w:rFonts w:ascii="Calibri" w:hAnsi="Calibri"/>
                <w:sz w:val="20"/>
              </w:rPr>
              <w:t>Encours moyen × commission annuelle</w:t>
            </w:r>
          </w:p>
        </w:tc>
        <w:tc>
          <w:tcPr>
            <w:tcW w:type="dxa" w:w="1701"/>
            <w:shd w:val="clear" w:color="auto" w:fill="F2F2F2"/>
            <w:tcBorders>
              <w:top w:val="single" w:sz="4" w:color="BFBFBF"/>
              <w:left w:val="single" w:sz="4" w:color="BFBFBF"/>
              <w:bottom w:val="single" w:sz="4" w:color="BFBFBF"/>
              <w:right w:val="single" w:sz="4" w:color="BFBFBF"/>
            </w:tcBorders>
            <w:vAlign w:val="center"/>
          </w:tcPr>
          <w:p>
            <w:r>
              <w:rPr>
                <w:rFonts w:ascii="Calibri" w:hAnsi="Calibri"/>
                <w:sz w:val="20"/>
              </w:rPr>
              <w:t>P&amp;L</w:t>
            </w:r>
          </w:p>
        </w:tc>
      </w:tr>
      <w:tr>
        <w:tc>
          <w:tcPr>
            <w:tcW w:type="dxa" w:w="2551"/>
            <w:tcBorders>
              <w:top w:val="single" w:sz="4" w:color="BFBFBF"/>
              <w:left w:val="single" w:sz="4" w:color="BFBFBF"/>
              <w:bottom w:val="single" w:sz="4" w:color="BFBFBF"/>
              <w:right w:val="single" w:sz="4" w:color="BFBFBF"/>
            </w:tcBorders>
            <w:vAlign w:val="center"/>
          </w:tcPr>
          <w:p>
            <w:r>
              <w:rPr>
                <w:rFonts w:ascii="Calibri" w:hAnsi="Calibri"/>
                <w:sz w:val="20"/>
              </w:rPr>
              <w:t>BFR Total</w:t>
            </w:r>
          </w:p>
        </w:tc>
        <w:tc>
          <w:tcPr>
            <w:tcW w:type="dxa" w:w="4819"/>
            <w:tcBorders>
              <w:top w:val="single" w:sz="4" w:color="BFBFBF"/>
              <w:left w:val="single" w:sz="4" w:color="BFBFBF"/>
              <w:bottom w:val="single" w:sz="4" w:color="BFBFBF"/>
              <w:right w:val="single" w:sz="4" w:color="BFBFBF"/>
            </w:tcBorders>
            <w:vAlign w:val="center"/>
          </w:tcPr>
          <w:p>
            <w:r>
              <w:rPr>
                <w:rFonts w:ascii="Calibri" w:hAnsi="Calibri"/>
                <w:sz w:val="20"/>
              </w:rPr>
              <w:t>Créances + Stocks + RG cum + Contre-gar - Dettes fourn - Avances reçues</w:t>
            </w:r>
          </w:p>
        </w:tc>
        <w:tc>
          <w:tcPr>
            <w:tcW w:type="dxa" w:w="1701"/>
            <w:tcBorders>
              <w:top w:val="single" w:sz="4" w:color="BFBFBF"/>
              <w:left w:val="single" w:sz="4" w:color="BFBFBF"/>
              <w:bottom w:val="single" w:sz="4" w:color="BFBFBF"/>
              <w:right w:val="single" w:sz="4" w:color="BFBFBF"/>
            </w:tcBorders>
            <w:vAlign w:val="center"/>
          </w:tcPr>
          <w:p>
            <w:r>
              <w:rPr>
                <w:rFonts w:ascii="Calibri" w:hAnsi="Calibri"/>
                <w:sz w:val="20"/>
              </w:rPr>
              <w:t>Bilan</w:t>
            </w:r>
          </w:p>
        </w:tc>
      </w:tr>
    </w:tbl>
    <w:p>
      <w:pPr>
        <w:spacing w:after="120"/>
      </w:pPr>
    </w:p>
    <w:p>
      <w:pPr>
        <w:pStyle w:val="Heading3"/>
        <w:spacing w:before="180" w:after="120"/>
      </w:pPr>
      <w:r>
        <w:rPr>
          <w:rFonts w:ascii="Calibri" w:hAnsi="Calibri"/>
          <w:b/>
          <w:color w:val="0A2540"/>
          <w:sz w:val="26"/>
        </w:rPr>
        <w:t>KPIs et indicateurs sectoriels</w:t>
      </w:r>
    </w:p>
    <w:p>
      <w:pPr>
        <w:pStyle w:val="ListBullet"/>
        <w:spacing w:after="60"/>
        <w:ind w:left="340"/>
      </w:pPr>
      <w:r>
        <w:rPr>
          <w:rFonts w:ascii="Calibri" w:hAnsi="Calibri"/>
          <w:sz w:val="22"/>
        </w:rPr>
        <w:t>Activité : CA, croissance YoY, backlog fin de période, book-to-bill, couverture backlog (mois), hit-rate AO</w:t>
      </w:r>
    </w:p>
    <w:p>
      <w:pPr>
        <w:pStyle w:val="ListBullet"/>
        <w:spacing w:after="60"/>
        <w:ind w:left="340"/>
      </w:pPr>
      <w:r>
        <w:rPr>
          <w:rFonts w:ascii="Calibri" w:hAnsi="Calibri"/>
          <w:sz w:val="22"/>
        </w:rPr>
        <w:t>Rentabilité : marge brute chantier (%), marge EBITDA (%), marge nette (%), résultat par chantier</w:t>
      </w:r>
    </w:p>
    <w:p>
      <w:pPr>
        <w:pStyle w:val="ListBullet"/>
        <w:spacing w:after="60"/>
        <w:ind w:left="340"/>
      </w:pPr>
      <w:r>
        <w:rPr>
          <w:rFonts w:ascii="Calibri" w:hAnsi="Calibri"/>
          <w:sz w:val="22"/>
        </w:rPr>
        <w:t>BFR/Cash : BFR/CA en jours, DSO réel, total encours cautions, coût cautions/CA, FCF</w:t>
      </w:r>
    </w:p>
    <w:p>
      <w:pPr>
        <w:pStyle w:val="ListBullet"/>
        <w:spacing w:after="60"/>
        <w:ind w:left="340"/>
      </w:pPr>
      <w:r>
        <w:rPr>
          <w:rFonts w:ascii="Calibri" w:hAnsi="Calibri"/>
          <w:sz w:val="22"/>
        </w:rPr>
        <w:t>Structure financière : charges fixes/CA, FF/CA, couverture intérêts (EBITDA/FF), gearing</w:t>
      </w:r>
    </w:p>
    <w:p>
      <w:pPr>
        <w:pStyle w:val="ListBullet"/>
        <w:spacing w:after="60"/>
        <w:ind w:left="340"/>
      </w:pPr>
      <w:r>
        <w:rPr>
          <w:rFonts w:ascii="Calibri" w:hAnsi="Calibri"/>
          <w:sz w:val="22"/>
        </w:rPr>
        <w:t>Productivité : CA/ETP structure, CA/chantier moyen, taux utilisation engins</w:t>
      </w:r>
    </w:p>
    <w:p>
      <w:pPr>
        <w:pStyle w:val="Heading3"/>
        <w:spacing w:before="180" w:after="120"/>
      </w:pPr>
      <w:r>
        <w:rPr>
          <w:rFonts w:ascii="Calibri" w:hAnsi="Calibri"/>
          <w:b/>
          <w:color w:val="0A2540"/>
          <w:sz w:val="26"/>
        </w:rPr>
        <w:t>Structure du template BTP</w:t>
      </w:r>
    </w:p>
    <w:p>
      <w:pPr>
        <w:spacing w:before="0" w:after="120"/>
        <w:jc w:val="both"/>
      </w:pPr>
      <w:r>
        <w:rPr>
          <w:rFonts w:ascii="Calibri" w:hAnsi="Calibri"/>
          <w:b w:val="0"/>
          <w:i w:val="0"/>
          <w:color w:val="000000"/>
          <w:sz w:val="22"/>
        </w:rPr>
        <w:t>Le template BTP comporte 14 feuilles : Notice, Hypothèses, Pipeline &amp; Backlog, Portefeuille chantiers, Décomptes &amp; encaissements, BFR &amp; cautions, Sous-traitance &amp; cotraitance, Parc matériel, Charges fixes &amp; RH, CAPEX &amp; Amortissements, P&amp;L, Trésorerie, KPIs Dashboard, Scénarios. Référence : un modèle Excel complet est livré en annexe.</w:t>
      </w:r>
    </w:p>
    <w:p>
      <w:pPr>
        <w:pStyle w:val="Heading2"/>
        <w:spacing w:before="240" w:after="120"/>
      </w:pPr>
      <w:r>
        <w:rPr>
          <w:rFonts w:ascii="Calibri" w:hAnsi="Calibri"/>
          <w:b/>
          <w:color w:val="0A2540"/>
          <w:sz w:val="30"/>
        </w:rPr>
        <w:t>5.2 Banque (IFRS et SYSCOHADA bancaire)</w:t>
      </w:r>
    </w:p>
    <w:p>
      <w:pPr>
        <w:pStyle w:val="Heading3"/>
        <w:spacing w:before="180" w:after="120"/>
      </w:pPr>
      <w:r>
        <w:rPr>
          <w:rFonts w:ascii="Calibri" w:hAnsi="Calibri"/>
          <w:b/>
          <w:color w:val="0A2540"/>
          <w:sz w:val="26"/>
        </w:rPr>
        <w:t>Description du secteur</w:t>
      </w:r>
    </w:p>
    <w:p>
      <w:pPr>
        <w:spacing w:before="0" w:after="120"/>
        <w:jc w:val="both"/>
      </w:pPr>
      <w:r>
        <w:rPr>
          <w:rFonts w:ascii="Calibri" w:hAnsi="Calibri"/>
          <w:b w:val="0"/>
          <w:i w:val="0"/>
          <w:color w:val="000000"/>
          <w:sz w:val="22"/>
        </w:rPr>
        <w:t>Le secteur bancaire en zone UEMOA/CEMAC est régi par la BCEAO (UMOA) ou la BEAC (CEMAC), avec des superviseurs prudentiels (Commission Bancaire UMOA, COBAC). Il est caractérisé par un nombre limité d'acteurs (40 à 60 banques par zone), une rentabilité élevée (ROE moyen 15-20%) et une concentration sur les grands corporates et le crédit à la consommation. La banque universelle représente la forme dominante, complétée par des banques spécialisées (microfinance, leasing, factoring).</w:t>
      </w:r>
    </w:p>
    <w:p>
      <w:pPr>
        <w:pStyle w:val="Heading3"/>
        <w:spacing w:before="180" w:after="120"/>
      </w:pPr>
      <w:r>
        <w:rPr>
          <w:rFonts w:ascii="Calibri" w:hAnsi="Calibri"/>
          <w:b/>
          <w:color w:val="0A2540"/>
          <w:sz w:val="26"/>
        </w:rPr>
        <w:t>Sous-secteurs et variantes</w:t>
      </w:r>
    </w:p>
    <w:tbl>
      <w:tblPr>
        <w:tblW w:type="auto" w:w="0"/>
        <w:jc w:val="center"/>
        <w:tblLayout w:type="fixed"/>
        <w:tblLook w:firstColumn="1" w:firstRow="1" w:lastColumn="0" w:lastRow="0" w:noHBand="0" w:noVBand="1" w:val="04A0"/>
      </w:tblPr>
      <w:tblGrid>
        <w:gridCol w:w="3135"/>
        <w:gridCol w:w="3135"/>
        <w:gridCol w:w="3135"/>
      </w:tblGrid>
      <w:tr>
        <w:tc>
          <w:tcPr>
            <w:tcW w:type="dxa" w:w="2551"/>
            <w:shd w:val="clear" w:color="auto" w:fill="0A2540"/>
            <w:tcBorders>
              <w:top w:val="single" w:sz="4" w:color="BFBFBF"/>
              <w:left w:val="single" w:sz="4" w:color="BFBFBF"/>
              <w:bottom w:val="single" w:sz="4" w:color="BFBFBF"/>
              <w:right w:val="single" w:sz="4" w:color="BFBFBF"/>
            </w:tcBorders>
            <w:vAlign w:val="center"/>
          </w:tcPr>
          <w:p>
            <w:pPr>
              <w:jc w:val="center"/>
            </w:pPr>
            <w:r>
              <w:rPr>
                <w:rFonts w:ascii="Calibri" w:hAnsi="Calibri"/>
                <w:b/>
                <w:color w:val="FFFFFF"/>
                <w:sz w:val="20"/>
              </w:rPr>
              <w:t>Sous-secteur</w:t>
            </w:r>
          </w:p>
        </w:tc>
        <w:tc>
          <w:tcPr>
            <w:tcW w:type="dxa" w:w="3685"/>
            <w:shd w:val="clear" w:color="auto" w:fill="0A2540"/>
            <w:tcBorders>
              <w:top w:val="single" w:sz="4" w:color="BFBFBF"/>
              <w:left w:val="single" w:sz="4" w:color="BFBFBF"/>
              <w:bottom w:val="single" w:sz="4" w:color="BFBFBF"/>
              <w:right w:val="single" w:sz="4" w:color="BFBFBF"/>
            </w:tcBorders>
            <w:vAlign w:val="center"/>
          </w:tcPr>
          <w:p>
            <w:pPr>
              <w:jc w:val="center"/>
            </w:pPr>
            <w:r>
              <w:rPr>
                <w:rFonts w:ascii="Calibri" w:hAnsi="Calibri"/>
                <w:b/>
                <w:color w:val="FFFFFF"/>
                <w:sz w:val="20"/>
              </w:rPr>
              <w:t>Caractéristiques</w:t>
            </w:r>
          </w:p>
        </w:tc>
        <w:tc>
          <w:tcPr>
            <w:tcW w:type="dxa" w:w="2551"/>
            <w:shd w:val="clear" w:color="auto" w:fill="0A2540"/>
            <w:tcBorders>
              <w:top w:val="single" w:sz="4" w:color="BFBFBF"/>
              <w:left w:val="single" w:sz="4" w:color="BFBFBF"/>
              <w:bottom w:val="single" w:sz="4" w:color="BFBFBF"/>
              <w:right w:val="single" w:sz="4" w:color="BFBFBF"/>
            </w:tcBorders>
            <w:vAlign w:val="center"/>
          </w:tcPr>
          <w:p>
            <w:pPr>
              <w:jc w:val="center"/>
            </w:pPr>
            <w:r>
              <w:rPr>
                <w:rFonts w:ascii="Calibri" w:hAnsi="Calibri"/>
                <w:b/>
                <w:color w:val="FFFFFF"/>
                <w:sz w:val="20"/>
              </w:rPr>
              <w:t>Coefficient d'exploitation</w:t>
            </w:r>
          </w:p>
        </w:tc>
      </w:tr>
      <w:tr>
        <w:tc>
          <w:tcPr>
            <w:tcW w:type="dxa" w:w="2551"/>
            <w:tcBorders>
              <w:top w:val="single" w:sz="4" w:color="BFBFBF"/>
              <w:left w:val="single" w:sz="4" w:color="BFBFBF"/>
              <w:bottom w:val="single" w:sz="4" w:color="BFBFBF"/>
              <w:right w:val="single" w:sz="4" w:color="BFBFBF"/>
            </w:tcBorders>
            <w:vAlign w:val="center"/>
          </w:tcPr>
          <w:p>
            <w:r>
              <w:rPr>
                <w:rFonts w:ascii="Calibri" w:hAnsi="Calibri"/>
                <w:sz w:val="20"/>
              </w:rPr>
              <w:t>Banque universelle</w:t>
            </w:r>
          </w:p>
        </w:tc>
        <w:tc>
          <w:tcPr>
            <w:tcW w:type="dxa" w:w="3685"/>
            <w:tcBorders>
              <w:top w:val="single" w:sz="4" w:color="BFBFBF"/>
              <w:left w:val="single" w:sz="4" w:color="BFBFBF"/>
              <w:bottom w:val="single" w:sz="4" w:color="BFBFBF"/>
              <w:right w:val="single" w:sz="4" w:color="BFBFBF"/>
            </w:tcBorders>
            <w:vAlign w:val="center"/>
          </w:tcPr>
          <w:p>
            <w:r>
              <w:rPr>
                <w:rFonts w:ascii="Calibri" w:hAnsi="Calibri"/>
                <w:sz w:val="20"/>
              </w:rPr>
              <w:t>Tous segments, retail + corporate + invest</w:t>
            </w:r>
          </w:p>
        </w:tc>
        <w:tc>
          <w:tcPr>
            <w:tcW w:type="dxa" w:w="2551"/>
            <w:tcBorders>
              <w:top w:val="single" w:sz="4" w:color="BFBFBF"/>
              <w:left w:val="single" w:sz="4" w:color="BFBFBF"/>
              <w:bottom w:val="single" w:sz="4" w:color="BFBFBF"/>
              <w:right w:val="single" w:sz="4" w:color="BFBFBF"/>
            </w:tcBorders>
            <w:vAlign w:val="center"/>
          </w:tcPr>
          <w:p>
            <w:r>
              <w:rPr>
                <w:rFonts w:ascii="Calibri" w:hAnsi="Calibri"/>
                <w:sz w:val="20"/>
              </w:rPr>
              <w:t>55-70%</w:t>
            </w:r>
          </w:p>
        </w:tc>
      </w:tr>
      <w:tr>
        <w:tc>
          <w:tcPr>
            <w:tcW w:type="dxa" w:w="2551"/>
            <w:shd w:val="clear" w:color="auto" w:fill="F2F2F2"/>
            <w:tcBorders>
              <w:top w:val="single" w:sz="4" w:color="BFBFBF"/>
              <w:left w:val="single" w:sz="4" w:color="BFBFBF"/>
              <w:bottom w:val="single" w:sz="4" w:color="BFBFBF"/>
              <w:right w:val="single" w:sz="4" w:color="BFBFBF"/>
            </w:tcBorders>
            <w:vAlign w:val="center"/>
          </w:tcPr>
          <w:p>
            <w:r>
              <w:rPr>
                <w:rFonts w:ascii="Calibri" w:hAnsi="Calibri"/>
                <w:sz w:val="20"/>
              </w:rPr>
              <w:t>Banque de détail</w:t>
            </w:r>
          </w:p>
        </w:tc>
        <w:tc>
          <w:tcPr>
            <w:tcW w:type="dxa" w:w="3685"/>
            <w:shd w:val="clear" w:color="auto" w:fill="F2F2F2"/>
            <w:tcBorders>
              <w:top w:val="single" w:sz="4" w:color="BFBFBF"/>
              <w:left w:val="single" w:sz="4" w:color="BFBFBF"/>
              <w:bottom w:val="single" w:sz="4" w:color="BFBFBF"/>
              <w:right w:val="single" w:sz="4" w:color="BFBFBF"/>
            </w:tcBorders>
            <w:vAlign w:val="center"/>
          </w:tcPr>
          <w:p>
            <w:r>
              <w:rPr>
                <w:rFonts w:ascii="Calibri" w:hAnsi="Calibri"/>
                <w:sz w:val="20"/>
              </w:rPr>
              <w:t>Particuliers, PME, crédit conso</w:t>
            </w:r>
          </w:p>
        </w:tc>
        <w:tc>
          <w:tcPr>
            <w:tcW w:type="dxa" w:w="2551"/>
            <w:shd w:val="clear" w:color="auto" w:fill="F2F2F2"/>
            <w:tcBorders>
              <w:top w:val="single" w:sz="4" w:color="BFBFBF"/>
              <w:left w:val="single" w:sz="4" w:color="BFBFBF"/>
              <w:bottom w:val="single" w:sz="4" w:color="BFBFBF"/>
              <w:right w:val="single" w:sz="4" w:color="BFBFBF"/>
            </w:tcBorders>
            <w:vAlign w:val="center"/>
          </w:tcPr>
          <w:p>
            <w:r>
              <w:rPr>
                <w:rFonts w:ascii="Calibri" w:hAnsi="Calibri"/>
                <w:sz w:val="20"/>
              </w:rPr>
              <w:t>60-75%</w:t>
            </w:r>
          </w:p>
        </w:tc>
      </w:tr>
      <w:tr>
        <w:tc>
          <w:tcPr>
            <w:tcW w:type="dxa" w:w="2551"/>
            <w:tcBorders>
              <w:top w:val="single" w:sz="4" w:color="BFBFBF"/>
              <w:left w:val="single" w:sz="4" w:color="BFBFBF"/>
              <w:bottom w:val="single" w:sz="4" w:color="BFBFBF"/>
              <w:right w:val="single" w:sz="4" w:color="BFBFBF"/>
            </w:tcBorders>
            <w:vAlign w:val="center"/>
          </w:tcPr>
          <w:p>
            <w:r>
              <w:rPr>
                <w:rFonts w:ascii="Calibri" w:hAnsi="Calibri"/>
                <w:sz w:val="20"/>
              </w:rPr>
              <w:t>Banque d'affaires / corporate</w:t>
            </w:r>
          </w:p>
        </w:tc>
        <w:tc>
          <w:tcPr>
            <w:tcW w:type="dxa" w:w="3685"/>
            <w:tcBorders>
              <w:top w:val="single" w:sz="4" w:color="BFBFBF"/>
              <w:left w:val="single" w:sz="4" w:color="BFBFBF"/>
              <w:bottom w:val="single" w:sz="4" w:color="BFBFBF"/>
              <w:right w:val="single" w:sz="4" w:color="BFBFBF"/>
            </w:tcBorders>
            <w:vAlign w:val="center"/>
          </w:tcPr>
          <w:p>
            <w:r>
              <w:rPr>
                <w:rFonts w:ascii="Calibri" w:hAnsi="Calibri"/>
                <w:sz w:val="20"/>
              </w:rPr>
              <w:t>Grands corporates, financements structurés</w:t>
            </w:r>
          </w:p>
        </w:tc>
        <w:tc>
          <w:tcPr>
            <w:tcW w:type="dxa" w:w="2551"/>
            <w:tcBorders>
              <w:top w:val="single" w:sz="4" w:color="BFBFBF"/>
              <w:left w:val="single" w:sz="4" w:color="BFBFBF"/>
              <w:bottom w:val="single" w:sz="4" w:color="BFBFBF"/>
              <w:right w:val="single" w:sz="4" w:color="BFBFBF"/>
            </w:tcBorders>
            <w:vAlign w:val="center"/>
          </w:tcPr>
          <w:p>
            <w:r>
              <w:rPr>
                <w:rFonts w:ascii="Calibri" w:hAnsi="Calibri"/>
                <w:sz w:val="20"/>
              </w:rPr>
              <w:t>40-55%</w:t>
            </w:r>
          </w:p>
        </w:tc>
      </w:tr>
      <w:tr>
        <w:tc>
          <w:tcPr>
            <w:tcW w:type="dxa" w:w="2551"/>
            <w:shd w:val="clear" w:color="auto" w:fill="F2F2F2"/>
            <w:tcBorders>
              <w:top w:val="single" w:sz="4" w:color="BFBFBF"/>
              <w:left w:val="single" w:sz="4" w:color="BFBFBF"/>
              <w:bottom w:val="single" w:sz="4" w:color="BFBFBF"/>
              <w:right w:val="single" w:sz="4" w:color="BFBFBF"/>
            </w:tcBorders>
            <w:vAlign w:val="center"/>
          </w:tcPr>
          <w:p>
            <w:r>
              <w:rPr>
                <w:rFonts w:ascii="Calibri" w:hAnsi="Calibri"/>
                <w:sz w:val="20"/>
              </w:rPr>
              <w:t>Banque d'investissement</w:t>
            </w:r>
          </w:p>
        </w:tc>
        <w:tc>
          <w:tcPr>
            <w:tcW w:type="dxa" w:w="3685"/>
            <w:shd w:val="clear" w:color="auto" w:fill="F2F2F2"/>
            <w:tcBorders>
              <w:top w:val="single" w:sz="4" w:color="BFBFBF"/>
              <w:left w:val="single" w:sz="4" w:color="BFBFBF"/>
              <w:bottom w:val="single" w:sz="4" w:color="BFBFBF"/>
              <w:right w:val="single" w:sz="4" w:color="BFBFBF"/>
            </w:tcBorders>
            <w:vAlign w:val="center"/>
          </w:tcPr>
          <w:p>
            <w:r>
              <w:rPr>
                <w:rFonts w:ascii="Calibri" w:hAnsi="Calibri"/>
                <w:sz w:val="20"/>
              </w:rPr>
              <w:t>Trading, capital markets, M&amp;A</w:t>
            </w:r>
          </w:p>
        </w:tc>
        <w:tc>
          <w:tcPr>
            <w:tcW w:type="dxa" w:w="2551"/>
            <w:shd w:val="clear" w:color="auto" w:fill="F2F2F2"/>
            <w:tcBorders>
              <w:top w:val="single" w:sz="4" w:color="BFBFBF"/>
              <w:left w:val="single" w:sz="4" w:color="BFBFBF"/>
              <w:bottom w:val="single" w:sz="4" w:color="BFBFBF"/>
              <w:right w:val="single" w:sz="4" w:color="BFBFBF"/>
            </w:tcBorders>
            <w:vAlign w:val="center"/>
          </w:tcPr>
          <w:p>
            <w:r>
              <w:rPr>
                <w:rFonts w:ascii="Calibri" w:hAnsi="Calibri"/>
                <w:sz w:val="20"/>
              </w:rPr>
              <w:t>60-75%</w:t>
            </w:r>
          </w:p>
        </w:tc>
      </w:tr>
      <w:tr>
        <w:tc>
          <w:tcPr>
            <w:tcW w:type="dxa" w:w="2551"/>
            <w:tcBorders>
              <w:top w:val="single" w:sz="4" w:color="BFBFBF"/>
              <w:left w:val="single" w:sz="4" w:color="BFBFBF"/>
              <w:bottom w:val="single" w:sz="4" w:color="BFBFBF"/>
              <w:right w:val="single" w:sz="4" w:color="BFBFBF"/>
            </w:tcBorders>
            <w:vAlign w:val="center"/>
          </w:tcPr>
          <w:p>
            <w:r>
              <w:rPr>
                <w:rFonts w:ascii="Calibri" w:hAnsi="Calibri"/>
                <w:sz w:val="20"/>
              </w:rPr>
              <w:t>Microfinance (institution)</w:t>
            </w:r>
          </w:p>
        </w:tc>
        <w:tc>
          <w:tcPr>
            <w:tcW w:type="dxa" w:w="3685"/>
            <w:tcBorders>
              <w:top w:val="single" w:sz="4" w:color="BFBFBF"/>
              <w:left w:val="single" w:sz="4" w:color="BFBFBF"/>
              <w:bottom w:val="single" w:sz="4" w:color="BFBFBF"/>
              <w:right w:val="single" w:sz="4" w:color="BFBFBF"/>
            </w:tcBorders>
            <w:vAlign w:val="center"/>
          </w:tcPr>
          <w:p>
            <w:r>
              <w:rPr>
                <w:rFonts w:ascii="Calibri" w:hAnsi="Calibri"/>
                <w:sz w:val="20"/>
              </w:rPr>
              <w:t>TPE, micro-entrepreneurs</w:t>
            </w:r>
          </w:p>
        </w:tc>
        <w:tc>
          <w:tcPr>
            <w:tcW w:type="dxa" w:w="2551"/>
            <w:tcBorders>
              <w:top w:val="single" w:sz="4" w:color="BFBFBF"/>
              <w:left w:val="single" w:sz="4" w:color="BFBFBF"/>
              <w:bottom w:val="single" w:sz="4" w:color="BFBFBF"/>
              <w:right w:val="single" w:sz="4" w:color="BFBFBF"/>
            </w:tcBorders>
            <w:vAlign w:val="center"/>
          </w:tcPr>
          <w:p>
            <w:r>
              <w:rPr>
                <w:rFonts w:ascii="Calibri" w:hAnsi="Calibri"/>
                <w:sz w:val="20"/>
              </w:rPr>
              <w:t>70-85%</w:t>
            </w:r>
          </w:p>
        </w:tc>
      </w:tr>
      <w:tr>
        <w:tc>
          <w:tcPr>
            <w:tcW w:type="dxa" w:w="2551"/>
            <w:shd w:val="clear" w:color="auto" w:fill="F2F2F2"/>
            <w:tcBorders>
              <w:top w:val="single" w:sz="4" w:color="BFBFBF"/>
              <w:left w:val="single" w:sz="4" w:color="BFBFBF"/>
              <w:bottom w:val="single" w:sz="4" w:color="BFBFBF"/>
              <w:right w:val="single" w:sz="4" w:color="BFBFBF"/>
            </w:tcBorders>
            <w:vAlign w:val="center"/>
          </w:tcPr>
          <w:p>
            <w:r>
              <w:rPr>
                <w:rFonts w:ascii="Calibri" w:hAnsi="Calibri"/>
                <w:sz w:val="20"/>
              </w:rPr>
              <w:t>Banque digitale</w:t>
            </w:r>
          </w:p>
        </w:tc>
        <w:tc>
          <w:tcPr>
            <w:tcW w:type="dxa" w:w="3685"/>
            <w:shd w:val="clear" w:color="auto" w:fill="F2F2F2"/>
            <w:tcBorders>
              <w:top w:val="single" w:sz="4" w:color="BFBFBF"/>
              <w:left w:val="single" w:sz="4" w:color="BFBFBF"/>
              <w:bottom w:val="single" w:sz="4" w:color="BFBFBF"/>
              <w:right w:val="single" w:sz="4" w:color="BFBFBF"/>
            </w:tcBorders>
            <w:vAlign w:val="center"/>
          </w:tcPr>
          <w:p>
            <w:r>
              <w:rPr>
                <w:rFonts w:ascii="Calibri" w:hAnsi="Calibri"/>
                <w:sz w:val="20"/>
              </w:rPr>
              <w:t>100% mobile/online, agile</w:t>
            </w:r>
          </w:p>
        </w:tc>
        <w:tc>
          <w:tcPr>
            <w:tcW w:type="dxa" w:w="2551"/>
            <w:shd w:val="clear" w:color="auto" w:fill="F2F2F2"/>
            <w:tcBorders>
              <w:top w:val="single" w:sz="4" w:color="BFBFBF"/>
              <w:left w:val="single" w:sz="4" w:color="BFBFBF"/>
              <w:bottom w:val="single" w:sz="4" w:color="BFBFBF"/>
              <w:right w:val="single" w:sz="4" w:color="BFBFBF"/>
            </w:tcBorders>
            <w:vAlign w:val="center"/>
          </w:tcPr>
          <w:p>
            <w:r>
              <w:rPr>
                <w:rFonts w:ascii="Calibri" w:hAnsi="Calibri"/>
                <w:sz w:val="20"/>
              </w:rPr>
              <w:t>30-50% à maturité</w:t>
            </w:r>
          </w:p>
        </w:tc>
      </w:tr>
    </w:tbl>
    <w:p>
      <w:pPr>
        <w:spacing w:after="120"/>
      </w:pPr>
    </w:p>
    <w:p>
      <w:pPr>
        <w:pStyle w:val="Heading3"/>
        <w:spacing w:before="180" w:after="120"/>
      </w:pPr>
      <w:r>
        <w:rPr>
          <w:rFonts w:ascii="Calibri" w:hAnsi="Calibri"/>
          <w:b/>
          <w:color w:val="0A2540"/>
          <w:sz w:val="26"/>
        </w:rPr>
        <w:t>Spécificités fiscales et réglementaires</w:t>
      </w:r>
    </w:p>
    <w:p>
      <w:pPr>
        <w:pStyle w:val="ListBullet"/>
        <w:spacing w:after="60"/>
        <w:ind w:left="340"/>
      </w:pPr>
      <w:r>
        <w:rPr>
          <w:rFonts w:ascii="Calibri" w:hAnsi="Calibri"/>
          <w:sz w:val="22"/>
        </w:rPr>
        <w:t>Régime fiscal bancaire : IS standard (25-35% selon pays) ; Taxe sur les opérations financières (TAF/TOB) 10-17% — non récupérable, affecte directement le coût de la collecte</w:t>
      </w:r>
    </w:p>
    <w:p>
      <w:pPr>
        <w:pStyle w:val="ListBullet"/>
        <w:spacing w:after="60"/>
        <w:ind w:left="340"/>
      </w:pPr>
      <w:r>
        <w:rPr>
          <w:rFonts w:ascii="Calibri" w:hAnsi="Calibri"/>
          <w:sz w:val="22"/>
        </w:rPr>
        <w:t>Réserves obligatoires BCEAO : 3% des dépôts à vue (non rémunérées) — coût d'opportunité à modéliser</w:t>
      </w:r>
    </w:p>
    <w:p>
      <w:pPr>
        <w:pStyle w:val="ListBullet"/>
        <w:spacing w:after="60"/>
        <w:ind w:left="340"/>
      </w:pPr>
      <w:r>
        <w:rPr>
          <w:rFonts w:ascii="Calibri" w:hAnsi="Calibri"/>
          <w:sz w:val="22"/>
        </w:rPr>
        <w:t>Capital minimum réglementaire : 10 Md FCFA (UMOA), 10 Md FCFA (CEMAC) — réforme en cours pour relever à 20 Md</w:t>
      </w:r>
    </w:p>
    <w:p>
      <w:pPr>
        <w:pStyle w:val="ListBullet"/>
        <w:spacing w:after="60"/>
        <w:ind w:left="340"/>
      </w:pPr>
      <w:r>
        <w:rPr>
          <w:rFonts w:ascii="Calibri" w:hAnsi="Calibri"/>
          <w:sz w:val="22"/>
        </w:rPr>
        <w:t>IFRS obligatoire pour les états consolidés des groupes bancaires depuis 2018 (UMOA) / 2019 (CEMAC)</w:t>
      </w:r>
    </w:p>
    <w:p>
      <w:pPr>
        <w:pStyle w:val="ListBullet"/>
        <w:spacing w:after="60"/>
        <w:ind w:left="340"/>
      </w:pPr>
      <w:r>
        <w:rPr>
          <w:rFonts w:ascii="Calibri" w:hAnsi="Calibri"/>
          <w:sz w:val="22"/>
        </w:rPr>
        <w:t>SYSCOHADA bancaire (PCB-2020) en transition vers convergence IFRS</w:t>
      </w:r>
    </w:p>
    <w:p>
      <w:pPr>
        <w:pStyle w:val="ListBullet"/>
        <w:spacing w:after="60"/>
        <w:ind w:left="340"/>
      </w:pPr>
      <w:r>
        <w:rPr>
          <w:rFonts w:ascii="Calibri" w:hAnsi="Calibri"/>
          <w:sz w:val="22"/>
        </w:rPr>
        <w:t>Surveillance Bâle III en application progressive : pilier 1 (CAR, levier, LCR, NSFR), pilier 2 (ICAAP, ILAAP), pilier 3 (informations financières)</w:t>
      </w:r>
    </w:p>
    <w:p>
      <w:pPr>
        <w:pStyle w:val="Heading3"/>
        <w:spacing w:before="180" w:after="120"/>
      </w:pPr>
      <w:r>
        <w:rPr>
          <w:rFonts w:ascii="Calibri" w:hAnsi="Calibri"/>
          <w:b/>
          <w:color w:val="0A2540"/>
          <w:sz w:val="26"/>
        </w:rPr>
        <w:t>Modèle de revenus</w:t>
      </w:r>
    </w:p>
    <w:p>
      <w:pPr>
        <w:spacing w:before="0" w:after="120"/>
        <w:jc w:val="both"/>
      </w:pPr>
      <w:r>
        <w:rPr>
          <w:rFonts w:ascii="Calibri" w:hAnsi="Calibri"/>
          <w:b w:val="0"/>
          <w:i w:val="0"/>
          <w:color w:val="000000"/>
          <w:sz w:val="22"/>
        </w:rPr>
        <w:t>Le revenu bancaire se décompose en trois flux principaux qu'il faut modéliser séparément :</w:t>
      </w:r>
    </w:p>
    <w:tbl>
      <w:tblPr>
        <w:tblW w:type="auto" w:w="0"/>
        <w:jc w:val="center"/>
        <w:tblLayout w:type="fixed"/>
        <w:tblLook w:firstColumn="1" w:firstRow="1" w:lastColumn="0" w:lastRow="0" w:noHBand="0" w:noVBand="1" w:val="04A0"/>
      </w:tblPr>
      <w:tblGrid>
        <w:gridCol w:w="3135"/>
        <w:gridCol w:w="3135"/>
        <w:gridCol w:w="3135"/>
      </w:tblGrid>
      <w:tr>
        <w:tc>
          <w:tcPr>
            <w:tcW w:type="dxa" w:w="2835"/>
            <w:shd w:val="clear" w:color="auto" w:fill="0A2540"/>
            <w:tcBorders>
              <w:top w:val="single" w:sz="4" w:color="BFBFBF"/>
              <w:left w:val="single" w:sz="4" w:color="BFBFBF"/>
              <w:bottom w:val="single" w:sz="4" w:color="BFBFBF"/>
              <w:right w:val="single" w:sz="4" w:color="BFBFBF"/>
            </w:tcBorders>
            <w:vAlign w:val="center"/>
          </w:tcPr>
          <w:p>
            <w:pPr>
              <w:jc w:val="center"/>
            </w:pPr>
            <w:r>
              <w:rPr>
                <w:rFonts w:ascii="Calibri" w:hAnsi="Calibri"/>
                <w:b/>
                <w:color w:val="FFFFFF"/>
                <w:sz w:val="20"/>
              </w:rPr>
              <w:t>Type de revenu</w:t>
            </w:r>
          </w:p>
        </w:tc>
        <w:tc>
          <w:tcPr>
            <w:tcW w:type="dxa" w:w="3969"/>
            <w:shd w:val="clear" w:color="auto" w:fill="0A2540"/>
            <w:tcBorders>
              <w:top w:val="single" w:sz="4" w:color="BFBFBF"/>
              <w:left w:val="single" w:sz="4" w:color="BFBFBF"/>
              <w:bottom w:val="single" w:sz="4" w:color="BFBFBF"/>
              <w:right w:val="single" w:sz="4" w:color="BFBFBF"/>
            </w:tcBorders>
            <w:vAlign w:val="center"/>
          </w:tcPr>
          <w:p>
            <w:pPr>
              <w:jc w:val="center"/>
            </w:pPr>
            <w:r>
              <w:rPr>
                <w:rFonts w:ascii="Calibri" w:hAnsi="Calibri"/>
                <w:b/>
                <w:color w:val="FFFFFF"/>
                <w:sz w:val="20"/>
              </w:rPr>
              <w:t>Composantes</w:t>
            </w:r>
          </w:p>
        </w:tc>
        <w:tc>
          <w:tcPr>
            <w:tcW w:type="dxa" w:w="2268"/>
            <w:shd w:val="clear" w:color="auto" w:fill="0A2540"/>
            <w:tcBorders>
              <w:top w:val="single" w:sz="4" w:color="BFBFBF"/>
              <w:left w:val="single" w:sz="4" w:color="BFBFBF"/>
              <w:bottom w:val="single" w:sz="4" w:color="BFBFBF"/>
              <w:right w:val="single" w:sz="4" w:color="BFBFBF"/>
            </w:tcBorders>
            <w:vAlign w:val="center"/>
          </w:tcPr>
          <w:p>
            <w:pPr>
              <w:jc w:val="center"/>
            </w:pPr>
            <w:r>
              <w:rPr>
                <w:rFonts w:ascii="Calibri" w:hAnsi="Calibri"/>
                <w:b/>
                <w:color w:val="FFFFFF"/>
                <w:sz w:val="20"/>
              </w:rPr>
              <w:t>Mécanique</w:t>
            </w:r>
          </w:p>
        </w:tc>
      </w:tr>
      <w:tr>
        <w:tc>
          <w:tcPr>
            <w:tcW w:type="dxa" w:w="2835"/>
            <w:tcBorders>
              <w:top w:val="single" w:sz="4" w:color="BFBFBF"/>
              <w:left w:val="single" w:sz="4" w:color="BFBFBF"/>
              <w:bottom w:val="single" w:sz="4" w:color="BFBFBF"/>
              <w:right w:val="single" w:sz="4" w:color="BFBFBF"/>
            </w:tcBorders>
            <w:vAlign w:val="center"/>
          </w:tcPr>
          <w:p>
            <w:r>
              <w:rPr>
                <w:rFonts w:ascii="Calibri" w:hAnsi="Calibri"/>
                <w:sz w:val="20"/>
              </w:rPr>
              <w:t>Marge nette d'intérêts (MNI)</w:t>
            </w:r>
          </w:p>
        </w:tc>
        <w:tc>
          <w:tcPr>
            <w:tcW w:type="dxa" w:w="3969"/>
            <w:tcBorders>
              <w:top w:val="single" w:sz="4" w:color="BFBFBF"/>
              <w:left w:val="single" w:sz="4" w:color="BFBFBF"/>
              <w:bottom w:val="single" w:sz="4" w:color="BFBFBF"/>
              <w:right w:val="single" w:sz="4" w:color="BFBFBF"/>
            </w:tcBorders>
            <w:vAlign w:val="center"/>
          </w:tcPr>
          <w:p>
            <w:r>
              <w:rPr>
                <w:rFonts w:ascii="Calibri" w:hAnsi="Calibri"/>
                <w:sz w:val="20"/>
              </w:rPr>
              <w:t>Intérêts sur crédits - Intérêts sur dépôts/dette</w:t>
            </w:r>
          </w:p>
        </w:tc>
        <w:tc>
          <w:tcPr>
            <w:tcW w:type="dxa" w:w="2268"/>
            <w:tcBorders>
              <w:top w:val="single" w:sz="4" w:color="BFBFBF"/>
              <w:left w:val="single" w:sz="4" w:color="BFBFBF"/>
              <w:bottom w:val="single" w:sz="4" w:color="BFBFBF"/>
              <w:right w:val="single" w:sz="4" w:color="BFBFBF"/>
            </w:tcBorders>
            <w:vAlign w:val="center"/>
          </w:tcPr>
          <w:p>
            <w:r>
              <w:rPr>
                <w:rFonts w:ascii="Calibri" w:hAnsi="Calibri"/>
                <w:sz w:val="20"/>
              </w:rPr>
              <w:t>Stock moyen × taux</w:t>
            </w:r>
          </w:p>
        </w:tc>
      </w:tr>
      <w:tr>
        <w:tc>
          <w:tcPr>
            <w:tcW w:type="dxa" w:w="2835"/>
            <w:shd w:val="clear" w:color="auto" w:fill="F2F2F2"/>
            <w:tcBorders>
              <w:top w:val="single" w:sz="4" w:color="BFBFBF"/>
              <w:left w:val="single" w:sz="4" w:color="BFBFBF"/>
              <w:bottom w:val="single" w:sz="4" w:color="BFBFBF"/>
              <w:right w:val="single" w:sz="4" w:color="BFBFBF"/>
            </w:tcBorders>
            <w:vAlign w:val="center"/>
          </w:tcPr>
          <w:p>
            <w:r>
              <w:rPr>
                <w:rFonts w:ascii="Calibri" w:hAnsi="Calibri"/>
                <w:sz w:val="20"/>
              </w:rPr>
              <w:t>Commissions nettes</w:t>
            </w:r>
          </w:p>
        </w:tc>
        <w:tc>
          <w:tcPr>
            <w:tcW w:type="dxa" w:w="3969"/>
            <w:shd w:val="clear" w:color="auto" w:fill="F2F2F2"/>
            <w:tcBorders>
              <w:top w:val="single" w:sz="4" w:color="BFBFBF"/>
              <w:left w:val="single" w:sz="4" w:color="BFBFBF"/>
              <w:bottom w:val="single" w:sz="4" w:color="BFBFBF"/>
              <w:right w:val="single" w:sz="4" w:color="BFBFBF"/>
            </w:tcBorders>
            <w:vAlign w:val="center"/>
          </w:tcPr>
          <w:p>
            <w:r>
              <w:rPr>
                <w:rFonts w:ascii="Calibri" w:hAnsi="Calibri"/>
                <w:sz w:val="20"/>
              </w:rPr>
              <w:t>Commissions opérations, monétique, garanties, FX</w:t>
            </w:r>
          </w:p>
        </w:tc>
        <w:tc>
          <w:tcPr>
            <w:tcW w:type="dxa" w:w="2268"/>
            <w:shd w:val="clear" w:color="auto" w:fill="F2F2F2"/>
            <w:tcBorders>
              <w:top w:val="single" w:sz="4" w:color="BFBFBF"/>
              <w:left w:val="single" w:sz="4" w:color="BFBFBF"/>
              <w:bottom w:val="single" w:sz="4" w:color="BFBFBF"/>
              <w:right w:val="single" w:sz="4" w:color="BFBFBF"/>
            </w:tcBorders>
            <w:vAlign w:val="center"/>
          </w:tcPr>
          <w:p>
            <w:r>
              <w:rPr>
                <w:rFonts w:ascii="Calibri" w:hAnsi="Calibri"/>
                <w:sz w:val="20"/>
              </w:rPr>
              <w:t>Volume × tarif</w:t>
            </w:r>
          </w:p>
        </w:tc>
      </w:tr>
      <w:tr>
        <w:tc>
          <w:tcPr>
            <w:tcW w:type="dxa" w:w="2835"/>
            <w:tcBorders>
              <w:top w:val="single" w:sz="4" w:color="BFBFBF"/>
              <w:left w:val="single" w:sz="4" w:color="BFBFBF"/>
              <w:bottom w:val="single" w:sz="4" w:color="BFBFBF"/>
              <w:right w:val="single" w:sz="4" w:color="BFBFBF"/>
            </w:tcBorders>
            <w:vAlign w:val="center"/>
          </w:tcPr>
          <w:p>
            <w:r>
              <w:rPr>
                <w:rFonts w:ascii="Calibri" w:hAnsi="Calibri"/>
                <w:sz w:val="20"/>
              </w:rPr>
              <w:t>Résultat des opérations financières</w:t>
            </w:r>
          </w:p>
        </w:tc>
        <w:tc>
          <w:tcPr>
            <w:tcW w:type="dxa" w:w="3969"/>
            <w:tcBorders>
              <w:top w:val="single" w:sz="4" w:color="BFBFBF"/>
              <w:left w:val="single" w:sz="4" w:color="BFBFBF"/>
              <w:bottom w:val="single" w:sz="4" w:color="BFBFBF"/>
              <w:right w:val="single" w:sz="4" w:color="BFBFBF"/>
            </w:tcBorders>
            <w:vAlign w:val="center"/>
          </w:tcPr>
          <w:p>
            <w:r>
              <w:rPr>
                <w:rFonts w:ascii="Calibri" w:hAnsi="Calibri"/>
                <w:sz w:val="20"/>
              </w:rPr>
              <w:t>FX, titres, trading</w:t>
            </w:r>
          </w:p>
        </w:tc>
        <w:tc>
          <w:tcPr>
            <w:tcW w:type="dxa" w:w="2268"/>
            <w:tcBorders>
              <w:top w:val="single" w:sz="4" w:color="BFBFBF"/>
              <w:left w:val="single" w:sz="4" w:color="BFBFBF"/>
              <w:bottom w:val="single" w:sz="4" w:color="BFBFBF"/>
              <w:right w:val="single" w:sz="4" w:color="BFBFBF"/>
            </w:tcBorders>
            <w:vAlign w:val="center"/>
          </w:tcPr>
          <w:p>
            <w:r>
              <w:rPr>
                <w:rFonts w:ascii="Calibri" w:hAnsi="Calibri"/>
                <w:sz w:val="20"/>
              </w:rPr>
              <w:t>Variations valeur + flux</w:t>
            </w:r>
          </w:p>
        </w:tc>
      </w:tr>
    </w:tbl>
    <w:p>
      <w:pPr>
        <w:spacing w:after="120"/>
      </w:pPr>
    </w:p>
    <w:p>
      <w:pPr>
        <w:pStyle w:val="Heading3"/>
        <w:spacing w:before="180" w:after="120"/>
      </w:pPr>
      <w:r>
        <w:rPr>
          <w:rFonts w:ascii="Calibri" w:hAnsi="Calibri"/>
          <w:b/>
          <w:color w:val="0A2540"/>
          <w:sz w:val="26"/>
        </w:rPr>
        <w:t>Structure du bilan bancaire</w:t>
      </w:r>
    </w:p>
    <w:p>
      <w:pPr>
        <w:spacing w:before="0" w:after="120"/>
        <w:jc w:val="both"/>
      </w:pPr>
      <w:r>
        <w:rPr>
          <w:rFonts w:ascii="Calibri" w:hAnsi="Calibri"/>
          <w:b w:val="0"/>
          <w:i w:val="0"/>
          <w:color w:val="000000"/>
          <w:sz w:val="22"/>
        </w:rPr>
        <w:t>Le bilan bancaire est radicalement différent d'un bilan d'entreprise. L'outil doit proposer une structure spécifique :</w:t>
      </w:r>
    </w:p>
    <w:tbl>
      <w:tblPr>
        <w:tblW w:type="auto" w:w="0"/>
        <w:jc w:val="center"/>
        <w:tblLayout w:type="fixed"/>
        <w:tblLook w:firstColumn="1" w:firstRow="1" w:lastColumn="0" w:lastRow="0" w:noHBand="0" w:noVBand="1" w:val="04A0"/>
      </w:tblPr>
      <w:tblGrid>
        <w:gridCol w:w="4703"/>
        <w:gridCol w:w="4703"/>
      </w:tblGrid>
      <w:tr>
        <w:tc>
          <w:tcPr>
            <w:tcW w:type="dxa" w:w="4535"/>
            <w:shd w:val="clear" w:color="auto" w:fill="0A2540"/>
            <w:tcBorders>
              <w:top w:val="single" w:sz="4" w:color="BFBFBF"/>
              <w:left w:val="single" w:sz="4" w:color="BFBFBF"/>
              <w:bottom w:val="single" w:sz="4" w:color="BFBFBF"/>
              <w:right w:val="single" w:sz="4" w:color="BFBFBF"/>
            </w:tcBorders>
            <w:vAlign w:val="center"/>
          </w:tcPr>
          <w:p>
            <w:pPr>
              <w:jc w:val="center"/>
            </w:pPr>
            <w:r>
              <w:rPr>
                <w:rFonts w:ascii="Calibri" w:hAnsi="Calibri"/>
                <w:b/>
                <w:color w:val="FFFFFF"/>
                <w:sz w:val="20"/>
              </w:rPr>
              <w:t>Actif</w:t>
            </w:r>
          </w:p>
        </w:tc>
        <w:tc>
          <w:tcPr>
            <w:tcW w:type="dxa" w:w="4535"/>
            <w:shd w:val="clear" w:color="auto" w:fill="0A2540"/>
            <w:tcBorders>
              <w:top w:val="single" w:sz="4" w:color="BFBFBF"/>
              <w:left w:val="single" w:sz="4" w:color="BFBFBF"/>
              <w:bottom w:val="single" w:sz="4" w:color="BFBFBF"/>
              <w:right w:val="single" w:sz="4" w:color="BFBFBF"/>
            </w:tcBorders>
            <w:vAlign w:val="center"/>
          </w:tcPr>
          <w:p>
            <w:pPr>
              <w:jc w:val="center"/>
            </w:pPr>
            <w:r>
              <w:rPr>
                <w:rFonts w:ascii="Calibri" w:hAnsi="Calibri"/>
                <w:b/>
                <w:color w:val="FFFFFF"/>
                <w:sz w:val="20"/>
              </w:rPr>
              <w:t>Passif</w:t>
            </w:r>
          </w:p>
        </w:tc>
      </w:tr>
      <w:tr>
        <w:tc>
          <w:tcPr>
            <w:tcW w:type="dxa" w:w="4535"/>
            <w:tcBorders>
              <w:top w:val="single" w:sz="4" w:color="BFBFBF"/>
              <w:left w:val="single" w:sz="4" w:color="BFBFBF"/>
              <w:bottom w:val="single" w:sz="4" w:color="BFBFBF"/>
              <w:right w:val="single" w:sz="4" w:color="BFBFBF"/>
            </w:tcBorders>
            <w:vAlign w:val="center"/>
          </w:tcPr>
          <w:p>
            <w:r>
              <w:rPr>
                <w:rFonts w:ascii="Calibri" w:hAnsi="Calibri"/>
                <w:sz w:val="20"/>
              </w:rPr>
              <w:t>Caisse &amp; banques centrales (incl. réserves obligatoires)</w:t>
            </w:r>
          </w:p>
        </w:tc>
        <w:tc>
          <w:tcPr>
            <w:tcW w:type="dxa" w:w="4535"/>
            <w:tcBorders>
              <w:top w:val="single" w:sz="4" w:color="BFBFBF"/>
              <w:left w:val="single" w:sz="4" w:color="BFBFBF"/>
              <w:bottom w:val="single" w:sz="4" w:color="BFBFBF"/>
              <w:right w:val="single" w:sz="4" w:color="BFBFBF"/>
            </w:tcBorders>
            <w:vAlign w:val="center"/>
          </w:tcPr>
          <w:p>
            <w:r>
              <w:rPr>
                <w:rFonts w:ascii="Calibri" w:hAnsi="Calibri"/>
                <w:sz w:val="20"/>
              </w:rPr>
              <w:t>Dépôts à vue (DAV)</w:t>
            </w:r>
          </w:p>
        </w:tc>
      </w:tr>
      <w:tr>
        <w:tc>
          <w:tcPr>
            <w:tcW w:type="dxa" w:w="4535"/>
            <w:shd w:val="clear" w:color="auto" w:fill="F2F2F2"/>
            <w:tcBorders>
              <w:top w:val="single" w:sz="4" w:color="BFBFBF"/>
              <w:left w:val="single" w:sz="4" w:color="BFBFBF"/>
              <w:bottom w:val="single" w:sz="4" w:color="BFBFBF"/>
              <w:right w:val="single" w:sz="4" w:color="BFBFBF"/>
            </w:tcBorders>
            <w:vAlign w:val="center"/>
          </w:tcPr>
          <w:p>
            <w:r>
              <w:rPr>
                <w:rFonts w:ascii="Calibri" w:hAnsi="Calibri"/>
                <w:sz w:val="20"/>
              </w:rPr>
              <w:t>Créances interbancaires</w:t>
            </w:r>
          </w:p>
        </w:tc>
        <w:tc>
          <w:tcPr>
            <w:tcW w:type="dxa" w:w="4535"/>
            <w:shd w:val="clear" w:color="auto" w:fill="F2F2F2"/>
            <w:tcBorders>
              <w:top w:val="single" w:sz="4" w:color="BFBFBF"/>
              <w:left w:val="single" w:sz="4" w:color="BFBFBF"/>
              <w:bottom w:val="single" w:sz="4" w:color="BFBFBF"/>
              <w:right w:val="single" w:sz="4" w:color="BFBFBF"/>
            </w:tcBorders>
            <w:vAlign w:val="center"/>
          </w:tcPr>
          <w:p>
            <w:r>
              <w:rPr>
                <w:rFonts w:ascii="Calibri" w:hAnsi="Calibri"/>
                <w:sz w:val="20"/>
              </w:rPr>
              <w:t>Dépôts à terme (DAT) &amp; comptes épargne</w:t>
            </w:r>
          </w:p>
        </w:tc>
      </w:tr>
      <w:tr>
        <w:tc>
          <w:tcPr>
            <w:tcW w:type="dxa" w:w="4535"/>
            <w:tcBorders>
              <w:top w:val="single" w:sz="4" w:color="BFBFBF"/>
              <w:left w:val="single" w:sz="4" w:color="BFBFBF"/>
              <w:bottom w:val="single" w:sz="4" w:color="BFBFBF"/>
              <w:right w:val="single" w:sz="4" w:color="BFBFBF"/>
            </w:tcBorders>
            <w:vAlign w:val="center"/>
          </w:tcPr>
          <w:p>
            <w:r>
              <w:rPr>
                <w:rFonts w:ascii="Calibri" w:hAnsi="Calibri"/>
                <w:sz w:val="20"/>
              </w:rPr>
              <w:t>Portefeuille titres (négociation, placement, investissement)</w:t>
            </w:r>
          </w:p>
        </w:tc>
        <w:tc>
          <w:tcPr>
            <w:tcW w:type="dxa" w:w="4535"/>
            <w:tcBorders>
              <w:top w:val="single" w:sz="4" w:color="BFBFBF"/>
              <w:left w:val="single" w:sz="4" w:color="BFBFBF"/>
              <w:bottom w:val="single" w:sz="4" w:color="BFBFBF"/>
              <w:right w:val="single" w:sz="4" w:color="BFBFBF"/>
            </w:tcBorders>
            <w:vAlign w:val="center"/>
          </w:tcPr>
          <w:p>
            <w:r>
              <w:rPr>
                <w:rFonts w:ascii="Calibri" w:hAnsi="Calibri"/>
                <w:sz w:val="20"/>
              </w:rPr>
              <w:t>Emprunts interbancaires</w:t>
            </w:r>
          </w:p>
        </w:tc>
      </w:tr>
      <w:tr>
        <w:tc>
          <w:tcPr>
            <w:tcW w:type="dxa" w:w="4535"/>
            <w:shd w:val="clear" w:color="auto" w:fill="F2F2F2"/>
            <w:tcBorders>
              <w:top w:val="single" w:sz="4" w:color="BFBFBF"/>
              <w:left w:val="single" w:sz="4" w:color="BFBFBF"/>
              <w:bottom w:val="single" w:sz="4" w:color="BFBFBF"/>
              <w:right w:val="single" w:sz="4" w:color="BFBFBF"/>
            </w:tcBorders>
            <w:vAlign w:val="center"/>
          </w:tcPr>
          <w:p>
            <w:r>
              <w:rPr>
                <w:rFonts w:ascii="Calibri" w:hAnsi="Calibri"/>
                <w:sz w:val="20"/>
              </w:rPr>
              <w:t>Crédits clientèle (court terme, moyen et long terme)</w:t>
            </w:r>
          </w:p>
        </w:tc>
        <w:tc>
          <w:tcPr>
            <w:tcW w:type="dxa" w:w="4535"/>
            <w:shd w:val="clear" w:color="auto" w:fill="F2F2F2"/>
            <w:tcBorders>
              <w:top w:val="single" w:sz="4" w:color="BFBFBF"/>
              <w:left w:val="single" w:sz="4" w:color="BFBFBF"/>
              <w:bottom w:val="single" w:sz="4" w:color="BFBFBF"/>
              <w:right w:val="single" w:sz="4" w:color="BFBFBF"/>
            </w:tcBorders>
            <w:vAlign w:val="center"/>
          </w:tcPr>
          <w:p>
            <w:r>
              <w:rPr>
                <w:rFonts w:ascii="Calibri" w:hAnsi="Calibri"/>
                <w:sz w:val="20"/>
              </w:rPr>
              <w:t>Emprunts obligataires &amp; subordonnés</w:t>
            </w:r>
          </w:p>
        </w:tc>
      </w:tr>
      <w:tr>
        <w:tc>
          <w:tcPr>
            <w:tcW w:type="dxa" w:w="4535"/>
            <w:tcBorders>
              <w:top w:val="single" w:sz="4" w:color="BFBFBF"/>
              <w:left w:val="single" w:sz="4" w:color="BFBFBF"/>
              <w:bottom w:val="single" w:sz="4" w:color="BFBFBF"/>
              <w:right w:val="single" w:sz="4" w:color="BFBFBF"/>
            </w:tcBorders>
            <w:vAlign w:val="center"/>
          </w:tcPr>
          <w:p>
            <w:r>
              <w:rPr>
                <w:rFonts w:ascii="Calibri" w:hAnsi="Calibri"/>
                <w:sz w:val="20"/>
              </w:rPr>
              <w:t>Immobilisations</w:t>
            </w:r>
          </w:p>
        </w:tc>
        <w:tc>
          <w:tcPr>
            <w:tcW w:type="dxa" w:w="4535"/>
            <w:tcBorders>
              <w:top w:val="single" w:sz="4" w:color="BFBFBF"/>
              <w:left w:val="single" w:sz="4" w:color="BFBFBF"/>
              <w:bottom w:val="single" w:sz="4" w:color="BFBFBF"/>
              <w:right w:val="single" w:sz="4" w:color="BFBFBF"/>
            </w:tcBorders>
            <w:vAlign w:val="center"/>
          </w:tcPr>
          <w:p>
            <w:r>
              <w:rPr>
                <w:rFonts w:ascii="Calibri" w:hAnsi="Calibri"/>
                <w:sz w:val="20"/>
              </w:rPr>
              <w:t>Provisions pour risques</w:t>
            </w:r>
          </w:p>
        </w:tc>
      </w:tr>
      <w:tr>
        <w:tc>
          <w:tcPr>
            <w:tcW w:type="dxa" w:w="4535"/>
            <w:shd w:val="clear" w:color="auto" w:fill="F2F2F2"/>
            <w:tcBorders>
              <w:top w:val="single" w:sz="4" w:color="BFBFBF"/>
              <w:left w:val="single" w:sz="4" w:color="BFBFBF"/>
              <w:bottom w:val="single" w:sz="4" w:color="BFBFBF"/>
              <w:right w:val="single" w:sz="4" w:color="BFBFBF"/>
            </w:tcBorders>
            <w:vAlign w:val="center"/>
          </w:tcPr>
          <w:p>
            <w:r>
              <w:rPr>
                <w:rFonts w:ascii="Calibri" w:hAnsi="Calibri"/>
                <w:sz w:val="20"/>
              </w:rPr>
              <w:t>Autres actifs</w:t>
            </w:r>
          </w:p>
        </w:tc>
        <w:tc>
          <w:tcPr>
            <w:tcW w:type="dxa" w:w="4535"/>
            <w:shd w:val="clear" w:color="auto" w:fill="F2F2F2"/>
            <w:tcBorders>
              <w:top w:val="single" w:sz="4" w:color="BFBFBF"/>
              <w:left w:val="single" w:sz="4" w:color="BFBFBF"/>
              <w:bottom w:val="single" w:sz="4" w:color="BFBFBF"/>
              <w:right w:val="single" w:sz="4" w:color="BFBFBF"/>
            </w:tcBorders>
            <w:vAlign w:val="center"/>
          </w:tcPr>
          <w:p>
            <w:r>
              <w:rPr>
                <w:rFonts w:ascii="Calibri" w:hAnsi="Calibri"/>
                <w:sz w:val="20"/>
              </w:rPr>
              <w:t>Capitaux propres (capital, réserves, résultat)</w:t>
            </w:r>
          </w:p>
        </w:tc>
      </w:tr>
    </w:tbl>
    <w:p>
      <w:pPr>
        <w:spacing w:after="120"/>
      </w:pPr>
    </w:p>
    <w:p>
      <w:pPr>
        <w:pStyle w:val="Heading3"/>
        <w:spacing w:before="180" w:after="120"/>
      </w:pPr>
      <w:r>
        <w:rPr>
          <w:rFonts w:ascii="Calibri" w:hAnsi="Calibri"/>
          <w:b/>
          <w:color w:val="0A2540"/>
          <w:sz w:val="26"/>
        </w:rPr>
        <w:t>Hypothèses clés (intrants paramétrables)</w:t>
      </w:r>
    </w:p>
    <w:p>
      <w:pPr>
        <w:pStyle w:val="ListBullet"/>
        <w:spacing w:after="60"/>
        <w:ind w:left="340"/>
      </w:pPr>
      <w:r>
        <w:rPr>
          <w:rFonts w:ascii="Calibri" w:hAnsi="Calibri"/>
          <w:sz w:val="22"/>
        </w:rPr>
        <w:t>Volumétrie : nombre de clients par segment, croissance, encours moyens par produit</w:t>
      </w:r>
    </w:p>
    <w:p>
      <w:pPr>
        <w:pStyle w:val="ListBullet"/>
        <w:spacing w:after="60"/>
        <w:ind w:left="340"/>
      </w:pPr>
      <w:r>
        <w:rPr>
          <w:rFonts w:ascii="Calibri" w:hAnsi="Calibri"/>
          <w:sz w:val="22"/>
        </w:rPr>
        <w:t>Taux d'intérêt : taux sur crédits (par durée et qualité), taux sur dépôts (par type)</w:t>
      </w:r>
    </w:p>
    <w:p>
      <w:pPr>
        <w:pStyle w:val="ListBullet"/>
        <w:spacing w:after="60"/>
        <w:ind w:left="340"/>
      </w:pPr>
      <w:r>
        <w:rPr>
          <w:rFonts w:ascii="Calibri" w:hAnsi="Calibri"/>
          <w:sz w:val="22"/>
        </w:rPr>
        <w:t>Coût des ressources : taux moyen de la collecte (DAV non rémunérés vs DAT)</w:t>
      </w:r>
    </w:p>
    <w:p>
      <w:pPr>
        <w:pStyle w:val="ListBullet"/>
        <w:spacing w:after="60"/>
        <w:ind w:left="340"/>
      </w:pPr>
      <w:r>
        <w:rPr>
          <w:rFonts w:ascii="Calibri" w:hAnsi="Calibri"/>
          <w:sz w:val="22"/>
        </w:rPr>
        <w:t>Coût du risque : taux de provisionnement IFRS 9 (Stage 1 / 2 / 3), taux de recouvrement</w:t>
      </w:r>
    </w:p>
    <w:p>
      <w:pPr>
        <w:pStyle w:val="ListBullet"/>
        <w:spacing w:after="60"/>
        <w:ind w:left="340"/>
      </w:pPr>
      <w:r>
        <w:rPr>
          <w:rFonts w:ascii="Calibri" w:hAnsi="Calibri"/>
          <w:sz w:val="22"/>
        </w:rPr>
        <w:t>Commissions : tarif moyen par opération, volume d'opérations par segment et produit</w:t>
      </w:r>
    </w:p>
    <w:p>
      <w:pPr>
        <w:pStyle w:val="ListBullet"/>
        <w:spacing w:after="60"/>
        <w:ind w:left="340"/>
      </w:pPr>
      <w:r>
        <w:rPr>
          <w:rFonts w:ascii="Calibri" w:hAnsi="Calibri"/>
          <w:sz w:val="22"/>
        </w:rPr>
        <w:t>Ratios prudentiels cibles : CET1, CAR, levier, LCR, NSFR (avec marges de sécurité)</w:t>
      </w:r>
    </w:p>
    <w:p>
      <w:pPr>
        <w:pStyle w:val="ListBullet"/>
        <w:spacing w:after="60"/>
        <w:ind w:left="340"/>
      </w:pPr>
      <w:r>
        <w:rPr>
          <w:rFonts w:ascii="Calibri" w:hAnsi="Calibri"/>
          <w:sz w:val="22"/>
        </w:rPr>
        <w:t>Réserves obligatoires : taux BCEAO sur DAV, DAT</w:t>
      </w:r>
    </w:p>
    <w:p>
      <w:pPr>
        <w:pStyle w:val="ListBullet"/>
        <w:spacing w:after="60"/>
        <w:ind w:left="340"/>
      </w:pPr>
      <w:r>
        <w:rPr>
          <w:rFonts w:ascii="Calibri" w:hAnsi="Calibri"/>
          <w:sz w:val="22"/>
        </w:rPr>
        <w:t>RWAs (actifs pondérés des risques) : pondérations par classe d'actif selon Bâle</w:t>
      </w:r>
    </w:p>
    <w:p>
      <w:pPr>
        <w:pStyle w:val="ListBullet"/>
        <w:spacing w:after="60"/>
        <w:ind w:left="340"/>
      </w:pPr>
      <w:r>
        <w:rPr>
          <w:rFonts w:ascii="Calibri" w:hAnsi="Calibri"/>
          <w:sz w:val="22"/>
        </w:rPr>
        <w:t>Coût opérationnel : RH (effectifs et salaires par catégorie), IT, immobilier, externalisation</w:t>
      </w:r>
    </w:p>
    <w:p>
      <w:pPr>
        <w:pStyle w:val="ListBullet"/>
        <w:spacing w:after="60"/>
        <w:ind w:left="340"/>
      </w:pPr>
      <w:r>
        <w:rPr>
          <w:rFonts w:ascii="Calibri" w:hAnsi="Calibri"/>
          <w:sz w:val="22"/>
        </w:rPr>
        <w:t>Investissements : digitalisation, agences, équipements</w:t>
      </w:r>
    </w:p>
    <w:p>
      <w:pPr>
        <w:pStyle w:val="Heading3"/>
        <w:spacing w:before="180" w:after="120"/>
      </w:pPr>
      <w:r>
        <w:rPr>
          <w:rFonts w:ascii="Calibri" w:hAnsi="Calibri"/>
          <w:b/>
          <w:color w:val="0A2540"/>
          <w:sz w:val="26"/>
        </w:rPr>
        <w:t>Règles de calcul critiques</w:t>
      </w:r>
    </w:p>
    <w:tbl>
      <w:tblPr>
        <w:tblW w:type="auto" w:w="0"/>
        <w:jc w:val="center"/>
        <w:tblLayout w:type="fixed"/>
        <w:tblLook w:firstColumn="1" w:firstRow="1" w:lastColumn="0" w:lastRow="0" w:noHBand="0" w:noVBand="1" w:val="04A0"/>
      </w:tblPr>
      <w:tblGrid>
        <w:gridCol w:w="3135"/>
        <w:gridCol w:w="3135"/>
        <w:gridCol w:w="3135"/>
      </w:tblGrid>
      <w:tr>
        <w:tc>
          <w:tcPr>
            <w:tcW w:type="dxa" w:w="2835"/>
            <w:shd w:val="clear" w:color="auto" w:fill="0A2540"/>
            <w:tcBorders>
              <w:top w:val="single" w:sz="4" w:color="BFBFBF"/>
              <w:left w:val="single" w:sz="4" w:color="BFBFBF"/>
              <w:bottom w:val="single" w:sz="4" w:color="BFBFBF"/>
              <w:right w:val="single" w:sz="4" w:color="BFBFBF"/>
            </w:tcBorders>
            <w:vAlign w:val="center"/>
          </w:tcPr>
          <w:p>
            <w:pPr>
              <w:jc w:val="center"/>
            </w:pPr>
            <w:r>
              <w:rPr>
                <w:rFonts w:ascii="Calibri" w:hAnsi="Calibri"/>
                <w:b/>
                <w:color w:val="FFFFFF"/>
                <w:sz w:val="20"/>
              </w:rPr>
              <w:t>Calcul</w:t>
            </w:r>
          </w:p>
        </w:tc>
        <w:tc>
          <w:tcPr>
            <w:tcW w:type="dxa" w:w="4535"/>
            <w:shd w:val="clear" w:color="auto" w:fill="0A2540"/>
            <w:tcBorders>
              <w:top w:val="single" w:sz="4" w:color="BFBFBF"/>
              <w:left w:val="single" w:sz="4" w:color="BFBFBF"/>
              <w:bottom w:val="single" w:sz="4" w:color="BFBFBF"/>
              <w:right w:val="single" w:sz="4" w:color="BFBFBF"/>
            </w:tcBorders>
            <w:vAlign w:val="center"/>
          </w:tcPr>
          <w:p>
            <w:pPr>
              <w:jc w:val="center"/>
            </w:pPr>
            <w:r>
              <w:rPr>
                <w:rFonts w:ascii="Calibri" w:hAnsi="Calibri"/>
                <w:b/>
                <w:color w:val="FFFFFF"/>
                <w:sz w:val="20"/>
              </w:rPr>
              <w:t>Formule type</w:t>
            </w:r>
          </w:p>
        </w:tc>
        <w:tc>
          <w:tcPr>
            <w:tcW w:type="dxa" w:w="1701"/>
            <w:shd w:val="clear" w:color="auto" w:fill="0A2540"/>
            <w:tcBorders>
              <w:top w:val="single" w:sz="4" w:color="BFBFBF"/>
              <w:left w:val="single" w:sz="4" w:color="BFBFBF"/>
              <w:bottom w:val="single" w:sz="4" w:color="BFBFBF"/>
              <w:right w:val="single" w:sz="4" w:color="BFBFBF"/>
            </w:tcBorders>
            <w:vAlign w:val="center"/>
          </w:tcPr>
          <w:p>
            <w:pPr>
              <w:jc w:val="center"/>
            </w:pPr>
            <w:r>
              <w:rPr>
                <w:rFonts w:ascii="Calibri" w:hAnsi="Calibri"/>
                <w:b/>
                <w:color w:val="FFFFFF"/>
                <w:sz w:val="20"/>
              </w:rPr>
              <w:t>Norme</w:t>
            </w:r>
          </w:p>
        </w:tc>
      </w:tr>
      <w:tr>
        <w:tc>
          <w:tcPr>
            <w:tcW w:type="dxa" w:w="2835"/>
            <w:tcBorders>
              <w:top w:val="single" w:sz="4" w:color="BFBFBF"/>
              <w:left w:val="single" w:sz="4" w:color="BFBFBF"/>
              <w:bottom w:val="single" w:sz="4" w:color="BFBFBF"/>
              <w:right w:val="single" w:sz="4" w:color="BFBFBF"/>
            </w:tcBorders>
            <w:vAlign w:val="center"/>
          </w:tcPr>
          <w:p>
            <w:r>
              <w:rPr>
                <w:rFonts w:ascii="Calibri" w:hAnsi="Calibri"/>
                <w:sz w:val="20"/>
              </w:rPr>
              <w:t>Net Interest Margin (NIM)</w:t>
            </w:r>
          </w:p>
        </w:tc>
        <w:tc>
          <w:tcPr>
            <w:tcW w:type="dxa" w:w="4535"/>
            <w:tcBorders>
              <w:top w:val="single" w:sz="4" w:color="BFBFBF"/>
              <w:left w:val="single" w:sz="4" w:color="BFBFBF"/>
              <w:bottom w:val="single" w:sz="4" w:color="BFBFBF"/>
              <w:right w:val="single" w:sz="4" w:color="BFBFBF"/>
            </w:tcBorders>
            <w:vAlign w:val="center"/>
          </w:tcPr>
          <w:p>
            <w:r>
              <w:rPr>
                <w:rFonts w:ascii="Calibri" w:hAnsi="Calibri"/>
                <w:sz w:val="20"/>
              </w:rPr>
              <w:t>MNI / Actifs moyens productifs</w:t>
            </w:r>
          </w:p>
        </w:tc>
        <w:tc>
          <w:tcPr>
            <w:tcW w:type="dxa" w:w="1701"/>
            <w:tcBorders>
              <w:top w:val="single" w:sz="4" w:color="BFBFBF"/>
              <w:left w:val="single" w:sz="4" w:color="BFBFBF"/>
              <w:bottom w:val="single" w:sz="4" w:color="BFBFBF"/>
              <w:right w:val="single" w:sz="4" w:color="BFBFBF"/>
            </w:tcBorders>
            <w:vAlign w:val="center"/>
          </w:tcPr>
          <w:p>
            <w:r>
              <w:rPr>
                <w:rFonts w:ascii="Calibri" w:hAnsi="Calibri"/>
                <w:sz w:val="20"/>
              </w:rPr>
              <w:t>Standard</w:t>
            </w:r>
          </w:p>
        </w:tc>
      </w:tr>
      <w:tr>
        <w:tc>
          <w:tcPr>
            <w:tcW w:type="dxa" w:w="2835"/>
            <w:shd w:val="clear" w:color="auto" w:fill="F2F2F2"/>
            <w:tcBorders>
              <w:top w:val="single" w:sz="4" w:color="BFBFBF"/>
              <w:left w:val="single" w:sz="4" w:color="BFBFBF"/>
              <w:bottom w:val="single" w:sz="4" w:color="BFBFBF"/>
              <w:right w:val="single" w:sz="4" w:color="BFBFBF"/>
            </w:tcBorders>
            <w:vAlign w:val="center"/>
          </w:tcPr>
          <w:p>
            <w:r>
              <w:rPr>
                <w:rFonts w:ascii="Calibri" w:hAnsi="Calibri"/>
                <w:sz w:val="20"/>
              </w:rPr>
              <w:t>Coût du risque IFRS 9 Stage 1</w:t>
            </w:r>
          </w:p>
        </w:tc>
        <w:tc>
          <w:tcPr>
            <w:tcW w:type="dxa" w:w="4535"/>
            <w:shd w:val="clear" w:color="auto" w:fill="F2F2F2"/>
            <w:tcBorders>
              <w:top w:val="single" w:sz="4" w:color="BFBFBF"/>
              <w:left w:val="single" w:sz="4" w:color="BFBFBF"/>
              <w:bottom w:val="single" w:sz="4" w:color="BFBFBF"/>
              <w:right w:val="single" w:sz="4" w:color="BFBFBF"/>
            </w:tcBorders>
            <w:vAlign w:val="center"/>
          </w:tcPr>
          <w:p>
            <w:r>
              <w:rPr>
                <w:rFonts w:ascii="Calibri" w:hAnsi="Calibri"/>
                <w:sz w:val="20"/>
              </w:rPr>
              <w:t>PD 12 mois × LGD × EAD × encours</w:t>
            </w:r>
          </w:p>
        </w:tc>
        <w:tc>
          <w:tcPr>
            <w:tcW w:type="dxa" w:w="1701"/>
            <w:shd w:val="clear" w:color="auto" w:fill="F2F2F2"/>
            <w:tcBorders>
              <w:top w:val="single" w:sz="4" w:color="BFBFBF"/>
              <w:left w:val="single" w:sz="4" w:color="BFBFBF"/>
              <w:bottom w:val="single" w:sz="4" w:color="BFBFBF"/>
              <w:right w:val="single" w:sz="4" w:color="BFBFBF"/>
            </w:tcBorders>
            <w:vAlign w:val="center"/>
          </w:tcPr>
          <w:p>
            <w:r>
              <w:rPr>
                <w:rFonts w:ascii="Calibri" w:hAnsi="Calibri"/>
                <w:sz w:val="20"/>
              </w:rPr>
              <w:t>IFRS 9</w:t>
            </w:r>
          </w:p>
        </w:tc>
      </w:tr>
      <w:tr>
        <w:tc>
          <w:tcPr>
            <w:tcW w:type="dxa" w:w="2835"/>
            <w:tcBorders>
              <w:top w:val="single" w:sz="4" w:color="BFBFBF"/>
              <w:left w:val="single" w:sz="4" w:color="BFBFBF"/>
              <w:bottom w:val="single" w:sz="4" w:color="BFBFBF"/>
              <w:right w:val="single" w:sz="4" w:color="BFBFBF"/>
            </w:tcBorders>
            <w:vAlign w:val="center"/>
          </w:tcPr>
          <w:p>
            <w:r>
              <w:rPr>
                <w:rFonts w:ascii="Calibri" w:hAnsi="Calibri"/>
                <w:sz w:val="20"/>
              </w:rPr>
              <w:t>Coût du risque IFRS 9 Stage 2/3</w:t>
            </w:r>
          </w:p>
        </w:tc>
        <w:tc>
          <w:tcPr>
            <w:tcW w:type="dxa" w:w="4535"/>
            <w:tcBorders>
              <w:top w:val="single" w:sz="4" w:color="BFBFBF"/>
              <w:left w:val="single" w:sz="4" w:color="BFBFBF"/>
              <w:bottom w:val="single" w:sz="4" w:color="BFBFBF"/>
              <w:right w:val="single" w:sz="4" w:color="BFBFBF"/>
            </w:tcBorders>
            <w:vAlign w:val="center"/>
          </w:tcPr>
          <w:p>
            <w:r>
              <w:rPr>
                <w:rFonts w:ascii="Calibri" w:hAnsi="Calibri"/>
                <w:sz w:val="20"/>
              </w:rPr>
              <w:t>PD lifetime × LGD × EAD × encours</w:t>
            </w:r>
          </w:p>
        </w:tc>
        <w:tc>
          <w:tcPr>
            <w:tcW w:type="dxa" w:w="1701"/>
            <w:tcBorders>
              <w:top w:val="single" w:sz="4" w:color="BFBFBF"/>
              <w:left w:val="single" w:sz="4" w:color="BFBFBF"/>
              <w:bottom w:val="single" w:sz="4" w:color="BFBFBF"/>
              <w:right w:val="single" w:sz="4" w:color="BFBFBF"/>
            </w:tcBorders>
            <w:vAlign w:val="center"/>
          </w:tcPr>
          <w:p>
            <w:r>
              <w:rPr>
                <w:rFonts w:ascii="Calibri" w:hAnsi="Calibri"/>
                <w:sz w:val="20"/>
              </w:rPr>
              <w:t>IFRS 9</w:t>
            </w:r>
          </w:p>
        </w:tc>
      </w:tr>
      <w:tr>
        <w:tc>
          <w:tcPr>
            <w:tcW w:type="dxa" w:w="2835"/>
            <w:shd w:val="clear" w:color="auto" w:fill="F2F2F2"/>
            <w:tcBorders>
              <w:top w:val="single" w:sz="4" w:color="BFBFBF"/>
              <w:left w:val="single" w:sz="4" w:color="BFBFBF"/>
              <w:bottom w:val="single" w:sz="4" w:color="BFBFBF"/>
              <w:right w:val="single" w:sz="4" w:color="BFBFBF"/>
            </w:tcBorders>
            <w:vAlign w:val="center"/>
          </w:tcPr>
          <w:p>
            <w:r>
              <w:rPr>
                <w:rFonts w:ascii="Calibri" w:hAnsi="Calibri"/>
                <w:sz w:val="20"/>
              </w:rPr>
              <w:t>Ratio CET1</w:t>
            </w:r>
          </w:p>
        </w:tc>
        <w:tc>
          <w:tcPr>
            <w:tcW w:type="dxa" w:w="4535"/>
            <w:shd w:val="clear" w:color="auto" w:fill="F2F2F2"/>
            <w:tcBorders>
              <w:top w:val="single" w:sz="4" w:color="BFBFBF"/>
              <w:left w:val="single" w:sz="4" w:color="BFBFBF"/>
              <w:bottom w:val="single" w:sz="4" w:color="BFBFBF"/>
              <w:right w:val="single" w:sz="4" w:color="BFBFBF"/>
            </w:tcBorders>
            <w:vAlign w:val="center"/>
          </w:tcPr>
          <w:p>
            <w:r>
              <w:rPr>
                <w:rFonts w:ascii="Calibri" w:hAnsi="Calibri"/>
                <w:sz w:val="20"/>
              </w:rPr>
              <w:t>Fonds propres durs / RWAs</w:t>
            </w:r>
          </w:p>
        </w:tc>
        <w:tc>
          <w:tcPr>
            <w:tcW w:type="dxa" w:w="1701"/>
            <w:shd w:val="clear" w:color="auto" w:fill="F2F2F2"/>
            <w:tcBorders>
              <w:top w:val="single" w:sz="4" w:color="BFBFBF"/>
              <w:left w:val="single" w:sz="4" w:color="BFBFBF"/>
              <w:bottom w:val="single" w:sz="4" w:color="BFBFBF"/>
              <w:right w:val="single" w:sz="4" w:color="BFBFBF"/>
            </w:tcBorders>
            <w:vAlign w:val="center"/>
          </w:tcPr>
          <w:p>
            <w:r>
              <w:rPr>
                <w:rFonts w:ascii="Calibri" w:hAnsi="Calibri"/>
                <w:sz w:val="20"/>
              </w:rPr>
              <w:t>Bâle III</w:t>
            </w:r>
          </w:p>
        </w:tc>
      </w:tr>
      <w:tr>
        <w:tc>
          <w:tcPr>
            <w:tcW w:type="dxa" w:w="2835"/>
            <w:tcBorders>
              <w:top w:val="single" w:sz="4" w:color="BFBFBF"/>
              <w:left w:val="single" w:sz="4" w:color="BFBFBF"/>
              <w:bottom w:val="single" w:sz="4" w:color="BFBFBF"/>
              <w:right w:val="single" w:sz="4" w:color="BFBFBF"/>
            </w:tcBorders>
            <w:vAlign w:val="center"/>
          </w:tcPr>
          <w:p>
            <w:r>
              <w:rPr>
                <w:rFonts w:ascii="Calibri" w:hAnsi="Calibri"/>
                <w:sz w:val="20"/>
              </w:rPr>
              <w:t>LCR (Liquidity Coverage Ratio)</w:t>
            </w:r>
          </w:p>
        </w:tc>
        <w:tc>
          <w:tcPr>
            <w:tcW w:type="dxa" w:w="4535"/>
            <w:tcBorders>
              <w:top w:val="single" w:sz="4" w:color="BFBFBF"/>
              <w:left w:val="single" w:sz="4" w:color="BFBFBF"/>
              <w:bottom w:val="single" w:sz="4" w:color="BFBFBF"/>
              <w:right w:val="single" w:sz="4" w:color="BFBFBF"/>
            </w:tcBorders>
            <w:vAlign w:val="center"/>
          </w:tcPr>
          <w:p>
            <w:r>
              <w:rPr>
                <w:rFonts w:ascii="Calibri" w:hAnsi="Calibri"/>
                <w:sz w:val="20"/>
              </w:rPr>
              <w:t>HQLA / Sorties nettes 30j</w:t>
            </w:r>
          </w:p>
        </w:tc>
        <w:tc>
          <w:tcPr>
            <w:tcW w:type="dxa" w:w="1701"/>
            <w:tcBorders>
              <w:top w:val="single" w:sz="4" w:color="BFBFBF"/>
              <w:left w:val="single" w:sz="4" w:color="BFBFBF"/>
              <w:bottom w:val="single" w:sz="4" w:color="BFBFBF"/>
              <w:right w:val="single" w:sz="4" w:color="BFBFBF"/>
            </w:tcBorders>
            <w:vAlign w:val="center"/>
          </w:tcPr>
          <w:p>
            <w:r>
              <w:rPr>
                <w:rFonts w:ascii="Calibri" w:hAnsi="Calibri"/>
                <w:sz w:val="20"/>
              </w:rPr>
              <w:t>Bâle III</w:t>
            </w:r>
          </w:p>
        </w:tc>
      </w:tr>
      <w:tr>
        <w:tc>
          <w:tcPr>
            <w:tcW w:type="dxa" w:w="2835"/>
            <w:shd w:val="clear" w:color="auto" w:fill="F2F2F2"/>
            <w:tcBorders>
              <w:top w:val="single" w:sz="4" w:color="BFBFBF"/>
              <w:left w:val="single" w:sz="4" w:color="BFBFBF"/>
              <w:bottom w:val="single" w:sz="4" w:color="BFBFBF"/>
              <w:right w:val="single" w:sz="4" w:color="BFBFBF"/>
            </w:tcBorders>
            <w:vAlign w:val="center"/>
          </w:tcPr>
          <w:p>
            <w:r>
              <w:rPr>
                <w:rFonts w:ascii="Calibri" w:hAnsi="Calibri"/>
                <w:sz w:val="20"/>
              </w:rPr>
              <w:t>ROE</w:t>
            </w:r>
          </w:p>
        </w:tc>
        <w:tc>
          <w:tcPr>
            <w:tcW w:type="dxa" w:w="4535"/>
            <w:shd w:val="clear" w:color="auto" w:fill="F2F2F2"/>
            <w:tcBorders>
              <w:top w:val="single" w:sz="4" w:color="BFBFBF"/>
              <w:left w:val="single" w:sz="4" w:color="BFBFBF"/>
              <w:bottom w:val="single" w:sz="4" w:color="BFBFBF"/>
              <w:right w:val="single" w:sz="4" w:color="BFBFBF"/>
            </w:tcBorders>
            <w:vAlign w:val="center"/>
          </w:tcPr>
          <w:p>
            <w:r>
              <w:rPr>
                <w:rFonts w:ascii="Calibri" w:hAnsi="Calibri"/>
                <w:sz w:val="20"/>
              </w:rPr>
              <w:t>Résultat net / Fonds propres moyens</w:t>
            </w:r>
          </w:p>
        </w:tc>
        <w:tc>
          <w:tcPr>
            <w:tcW w:type="dxa" w:w="1701"/>
            <w:shd w:val="clear" w:color="auto" w:fill="F2F2F2"/>
            <w:tcBorders>
              <w:top w:val="single" w:sz="4" w:color="BFBFBF"/>
              <w:left w:val="single" w:sz="4" w:color="BFBFBF"/>
              <w:bottom w:val="single" w:sz="4" w:color="BFBFBF"/>
              <w:right w:val="single" w:sz="4" w:color="BFBFBF"/>
            </w:tcBorders>
            <w:vAlign w:val="center"/>
          </w:tcPr>
          <w:p>
            <w:r>
              <w:rPr>
                <w:rFonts w:ascii="Calibri" w:hAnsi="Calibri"/>
                <w:sz w:val="20"/>
              </w:rPr>
              <w:t>Standard</w:t>
            </w:r>
          </w:p>
        </w:tc>
      </w:tr>
      <w:tr>
        <w:tc>
          <w:tcPr>
            <w:tcW w:type="dxa" w:w="2835"/>
            <w:tcBorders>
              <w:top w:val="single" w:sz="4" w:color="BFBFBF"/>
              <w:left w:val="single" w:sz="4" w:color="BFBFBF"/>
              <w:bottom w:val="single" w:sz="4" w:color="BFBFBF"/>
              <w:right w:val="single" w:sz="4" w:color="BFBFBF"/>
            </w:tcBorders>
            <w:vAlign w:val="center"/>
          </w:tcPr>
          <w:p>
            <w:r>
              <w:rPr>
                <w:rFonts w:ascii="Calibri" w:hAnsi="Calibri"/>
                <w:sz w:val="20"/>
              </w:rPr>
              <w:t>Coefficient d'exploitation</w:t>
            </w:r>
          </w:p>
        </w:tc>
        <w:tc>
          <w:tcPr>
            <w:tcW w:type="dxa" w:w="4535"/>
            <w:tcBorders>
              <w:top w:val="single" w:sz="4" w:color="BFBFBF"/>
              <w:left w:val="single" w:sz="4" w:color="BFBFBF"/>
              <w:bottom w:val="single" w:sz="4" w:color="BFBFBF"/>
              <w:right w:val="single" w:sz="4" w:color="BFBFBF"/>
            </w:tcBorders>
            <w:vAlign w:val="center"/>
          </w:tcPr>
          <w:p>
            <w:r>
              <w:rPr>
                <w:rFonts w:ascii="Calibri" w:hAnsi="Calibri"/>
                <w:sz w:val="20"/>
              </w:rPr>
              <w:t>Charges générales / PNB</w:t>
            </w:r>
          </w:p>
        </w:tc>
        <w:tc>
          <w:tcPr>
            <w:tcW w:type="dxa" w:w="1701"/>
            <w:tcBorders>
              <w:top w:val="single" w:sz="4" w:color="BFBFBF"/>
              <w:left w:val="single" w:sz="4" w:color="BFBFBF"/>
              <w:bottom w:val="single" w:sz="4" w:color="BFBFBF"/>
              <w:right w:val="single" w:sz="4" w:color="BFBFBF"/>
            </w:tcBorders>
            <w:vAlign w:val="center"/>
          </w:tcPr>
          <w:p>
            <w:r>
              <w:rPr>
                <w:rFonts w:ascii="Calibri" w:hAnsi="Calibri"/>
                <w:sz w:val="20"/>
              </w:rPr>
              <w:t>Standard</w:t>
            </w:r>
          </w:p>
        </w:tc>
      </w:tr>
      <w:tr>
        <w:tc>
          <w:tcPr>
            <w:tcW w:type="dxa" w:w="2835"/>
            <w:shd w:val="clear" w:color="auto" w:fill="F2F2F2"/>
            <w:tcBorders>
              <w:top w:val="single" w:sz="4" w:color="BFBFBF"/>
              <w:left w:val="single" w:sz="4" w:color="BFBFBF"/>
              <w:bottom w:val="single" w:sz="4" w:color="BFBFBF"/>
              <w:right w:val="single" w:sz="4" w:color="BFBFBF"/>
            </w:tcBorders>
            <w:vAlign w:val="center"/>
          </w:tcPr>
          <w:p>
            <w:r>
              <w:rPr>
                <w:rFonts w:ascii="Calibri" w:hAnsi="Calibri"/>
                <w:sz w:val="20"/>
              </w:rPr>
              <w:t>Coût des dépôts</w:t>
            </w:r>
          </w:p>
        </w:tc>
        <w:tc>
          <w:tcPr>
            <w:tcW w:type="dxa" w:w="4535"/>
            <w:shd w:val="clear" w:color="auto" w:fill="F2F2F2"/>
            <w:tcBorders>
              <w:top w:val="single" w:sz="4" w:color="BFBFBF"/>
              <w:left w:val="single" w:sz="4" w:color="BFBFBF"/>
              <w:bottom w:val="single" w:sz="4" w:color="BFBFBF"/>
              <w:right w:val="single" w:sz="4" w:color="BFBFBF"/>
            </w:tcBorders>
            <w:vAlign w:val="center"/>
          </w:tcPr>
          <w:p>
            <w:r>
              <w:rPr>
                <w:rFonts w:ascii="Calibri" w:hAnsi="Calibri"/>
                <w:sz w:val="20"/>
              </w:rPr>
              <w:t>Intérêts sur dépôts / Encours moyen</w:t>
            </w:r>
          </w:p>
        </w:tc>
        <w:tc>
          <w:tcPr>
            <w:tcW w:type="dxa" w:w="1701"/>
            <w:shd w:val="clear" w:color="auto" w:fill="F2F2F2"/>
            <w:tcBorders>
              <w:top w:val="single" w:sz="4" w:color="BFBFBF"/>
              <w:left w:val="single" w:sz="4" w:color="BFBFBF"/>
              <w:bottom w:val="single" w:sz="4" w:color="BFBFBF"/>
              <w:right w:val="single" w:sz="4" w:color="BFBFBF"/>
            </w:tcBorders>
            <w:vAlign w:val="center"/>
          </w:tcPr>
          <w:p>
            <w:r>
              <w:rPr>
                <w:rFonts w:ascii="Calibri" w:hAnsi="Calibri"/>
                <w:sz w:val="20"/>
              </w:rPr>
              <w:t>Standard</w:t>
            </w:r>
          </w:p>
        </w:tc>
      </w:tr>
      <w:tr>
        <w:tc>
          <w:tcPr>
            <w:tcW w:type="dxa" w:w="2835"/>
            <w:tcBorders>
              <w:top w:val="single" w:sz="4" w:color="BFBFBF"/>
              <w:left w:val="single" w:sz="4" w:color="BFBFBF"/>
              <w:bottom w:val="single" w:sz="4" w:color="BFBFBF"/>
              <w:right w:val="single" w:sz="4" w:color="BFBFBF"/>
            </w:tcBorders>
            <w:vAlign w:val="center"/>
          </w:tcPr>
          <w:p>
            <w:r>
              <w:rPr>
                <w:rFonts w:ascii="Calibri" w:hAnsi="Calibri"/>
                <w:sz w:val="20"/>
              </w:rPr>
              <w:t>PNB</w:t>
            </w:r>
          </w:p>
        </w:tc>
        <w:tc>
          <w:tcPr>
            <w:tcW w:type="dxa" w:w="4535"/>
            <w:tcBorders>
              <w:top w:val="single" w:sz="4" w:color="BFBFBF"/>
              <w:left w:val="single" w:sz="4" w:color="BFBFBF"/>
              <w:bottom w:val="single" w:sz="4" w:color="BFBFBF"/>
              <w:right w:val="single" w:sz="4" w:color="BFBFBF"/>
            </w:tcBorders>
            <w:vAlign w:val="center"/>
          </w:tcPr>
          <w:p>
            <w:r>
              <w:rPr>
                <w:rFonts w:ascii="Calibri" w:hAnsi="Calibri"/>
                <w:sz w:val="20"/>
              </w:rPr>
              <w:t>MNI + Commissions + Résultat opérations financières</w:t>
            </w:r>
          </w:p>
        </w:tc>
        <w:tc>
          <w:tcPr>
            <w:tcW w:type="dxa" w:w="1701"/>
            <w:tcBorders>
              <w:top w:val="single" w:sz="4" w:color="BFBFBF"/>
              <w:left w:val="single" w:sz="4" w:color="BFBFBF"/>
              <w:bottom w:val="single" w:sz="4" w:color="BFBFBF"/>
              <w:right w:val="single" w:sz="4" w:color="BFBFBF"/>
            </w:tcBorders>
            <w:vAlign w:val="center"/>
          </w:tcPr>
          <w:p>
            <w:r>
              <w:rPr>
                <w:rFonts w:ascii="Calibri" w:hAnsi="Calibri"/>
                <w:sz w:val="20"/>
              </w:rPr>
              <w:t>Bancaire</w:t>
            </w:r>
          </w:p>
        </w:tc>
      </w:tr>
    </w:tbl>
    <w:p>
      <w:pPr>
        <w:spacing w:after="120"/>
      </w:pPr>
    </w:p>
    <w:p>
      <w:pPr>
        <w:pStyle w:val="Heading3"/>
        <w:spacing w:before="180" w:after="120"/>
      </w:pPr>
      <w:r>
        <w:rPr>
          <w:rFonts w:ascii="Calibri" w:hAnsi="Calibri"/>
          <w:b/>
          <w:color w:val="0A2540"/>
          <w:sz w:val="26"/>
        </w:rPr>
        <w:t>KPIs et indicateurs sectoriels</w:t>
      </w:r>
    </w:p>
    <w:p>
      <w:pPr>
        <w:pStyle w:val="ListBullet"/>
        <w:spacing w:after="60"/>
        <w:ind w:left="340"/>
      </w:pPr>
      <w:r>
        <w:rPr>
          <w:rFonts w:ascii="Calibri" w:hAnsi="Calibri"/>
          <w:sz w:val="22"/>
        </w:rPr>
        <w:t>Performance : ROE, ROA, PNB, RBE, résultat net, coefficient d'exploitation</w:t>
      </w:r>
    </w:p>
    <w:p>
      <w:pPr>
        <w:pStyle w:val="ListBullet"/>
        <w:spacing w:after="60"/>
        <w:ind w:left="340"/>
      </w:pPr>
      <w:r>
        <w:rPr>
          <w:rFonts w:ascii="Calibri" w:hAnsi="Calibri"/>
          <w:sz w:val="22"/>
        </w:rPr>
        <w:t>Marge : NIM, marge sur intérêts, taux de marge sur commissions</w:t>
      </w:r>
    </w:p>
    <w:p>
      <w:pPr>
        <w:pStyle w:val="ListBullet"/>
        <w:spacing w:after="60"/>
        <w:ind w:left="340"/>
      </w:pPr>
      <w:r>
        <w:rPr>
          <w:rFonts w:ascii="Calibri" w:hAnsi="Calibri"/>
          <w:sz w:val="22"/>
        </w:rPr>
        <w:t>Risque : coût du risque (% encours), créances douteuses (CDL) / crédits totaux, taux de couverture</w:t>
      </w:r>
    </w:p>
    <w:p>
      <w:pPr>
        <w:pStyle w:val="ListBullet"/>
        <w:spacing w:after="60"/>
        <w:ind w:left="340"/>
      </w:pPr>
      <w:r>
        <w:rPr>
          <w:rFonts w:ascii="Calibri" w:hAnsi="Calibri"/>
          <w:sz w:val="22"/>
        </w:rPr>
        <w:t>Solvabilité : CET1, Tier 1, CAR, ratio de levier</w:t>
      </w:r>
    </w:p>
    <w:p>
      <w:pPr>
        <w:pStyle w:val="ListBullet"/>
        <w:spacing w:after="60"/>
        <w:ind w:left="340"/>
      </w:pPr>
      <w:r>
        <w:rPr>
          <w:rFonts w:ascii="Calibri" w:hAnsi="Calibri"/>
          <w:sz w:val="22"/>
        </w:rPr>
        <w:t>Liquidité : LCR, NSFR, ratio crédits/dépôts</w:t>
      </w:r>
    </w:p>
    <w:p>
      <w:pPr>
        <w:pStyle w:val="ListBullet"/>
        <w:spacing w:after="60"/>
        <w:ind w:left="340"/>
      </w:pPr>
      <w:r>
        <w:rPr>
          <w:rFonts w:ascii="Calibri" w:hAnsi="Calibri"/>
          <w:sz w:val="22"/>
        </w:rPr>
        <w:t>Croissance : croissance crédits, croissance dépôts, croissance PNB</w:t>
      </w:r>
    </w:p>
    <w:p>
      <w:pPr>
        <w:pStyle w:val="ListBullet"/>
        <w:spacing w:after="60"/>
        <w:ind w:left="340"/>
      </w:pPr>
      <w:r>
        <w:rPr>
          <w:rFonts w:ascii="Calibri" w:hAnsi="Calibri"/>
          <w:sz w:val="22"/>
        </w:rPr>
        <w:t>Productivité : PNB / ETP, encours moyen par client, agence</w:t>
      </w:r>
    </w:p>
    <w:p>
      <w:pPr>
        <w:pStyle w:val="Heading3"/>
        <w:spacing w:before="180" w:after="120"/>
      </w:pPr>
      <w:r>
        <w:rPr>
          <w:rFonts w:ascii="Calibri" w:hAnsi="Calibri"/>
          <w:b/>
          <w:color w:val="0A2540"/>
          <w:sz w:val="26"/>
        </w:rPr>
        <w:t>Structure du template Banque</w:t>
      </w:r>
    </w:p>
    <w:p>
      <w:pPr>
        <w:spacing w:before="0" w:after="120"/>
        <w:jc w:val="both"/>
      </w:pPr>
      <w:r>
        <w:rPr>
          <w:rFonts w:ascii="Calibri" w:hAnsi="Calibri"/>
          <w:b w:val="0"/>
          <w:i w:val="0"/>
          <w:color w:val="000000"/>
          <w:sz w:val="22"/>
        </w:rPr>
        <w:t>Le template Banque comporte 15 feuilles : Notice, Hypothèses macro &amp; fiscales, Hypothèses commerciales (volumétrie clientèle), Crédits &amp; taux, Dépôts &amp; coût de la collecte, Bilan bancaire pivot, Calcul du PNB (MNI + commissions + opérations financières), Charges générales d'exploitation &amp; RH, Coût du risque IFRS 9, P&amp;L bancaire, Ratios prudentiels Bâle III, KPIs Dashboard, Stress tests prudentiels, Tableau de flux, Scénarios.</w:t>
      </w:r>
    </w:p>
    <w:p>
      <w:pPr>
        <w:pStyle w:val="Heading2"/>
        <w:spacing w:before="240" w:after="120"/>
      </w:pPr>
      <w:r>
        <w:rPr>
          <w:rFonts w:ascii="Calibri" w:hAnsi="Calibri"/>
          <w:b/>
          <w:color w:val="0A2540"/>
          <w:sz w:val="30"/>
        </w:rPr>
        <w:t>5.3 Assurance Zone CIMA (Vie et Non-Vie)</w:t>
      </w:r>
    </w:p>
    <w:p>
      <w:pPr>
        <w:pStyle w:val="Heading3"/>
        <w:spacing w:before="180" w:after="120"/>
      </w:pPr>
      <w:r>
        <w:rPr>
          <w:rFonts w:ascii="Calibri" w:hAnsi="Calibri"/>
          <w:b/>
          <w:color w:val="0A2540"/>
          <w:sz w:val="26"/>
        </w:rPr>
        <w:t>Description du secteur</w:t>
      </w:r>
    </w:p>
    <w:p>
      <w:pPr>
        <w:spacing w:before="0" w:after="120"/>
        <w:jc w:val="both"/>
      </w:pPr>
      <w:r>
        <w:rPr>
          <w:rFonts w:ascii="Calibri" w:hAnsi="Calibri"/>
          <w:b w:val="0"/>
          <w:i w:val="0"/>
          <w:color w:val="000000"/>
          <w:sz w:val="22"/>
        </w:rPr>
        <w:t>Le marché de l'assurance en zone CIMA (14 pays d'Afrique francophone) est jeune mais en forte croissance (taux de pénétration &lt;2% du PIB). Il est segmenté en deux branches structurellement distinctes : la Non-Vie (IARD, automobile, transport, santé) et la Vie (épargne, prévoyance, retraite). Les compagnies sont régies par le Code des Assurances CIMA harmonisé, avec une supervision par la CRCA (Commission Régionale de Contrôle des Assurances) et un capital minimum porté à 5 Md FCFA (réforme 2019-2024).</w:t>
      </w:r>
    </w:p>
    <w:p>
      <w:pPr>
        <w:pStyle w:val="Heading3"/>
        <w:spacing w:before="180" w:after="120"/>
      </w:pPr>
      <w:r>
        <w:rPr>
          <w:rFonts w:ascii="Calibri" w:hAnsi="Calibri"/>
          <w:b/>
          <w:color w:val="0A2540"/>
          <w:sz w:val="26"/>
        </w:rPr>
        <w:t>Sous-secteurs et variantes</w:t>
      </w:r>
    </w:p>
    <w:tbl>
      <w:tblPr>
        <w:tblW w:type="auto" w:w="0"/>
        <w:jc w:val="center"/>
        <w:tblLayout w:type="fixed"/>
        <w:tblLook w:firstColumn="1" w:firstRow="1" w:lastColumn="0" w:lastRow="0" w:noHBand="0" w:noVBand="1" w:val="04A0"/>
      </w:tblPr>
      <w:tblGrid>
        <w:gridCol w:w="3135"/>
        <w:gridCol w:w="3135"/>
        <w:gridCol w:w="3135"/>
      </w:tblGrid>
      <w:tr>
        <w:tc>
          <w:tcPr>
            <w:tcW w:type="dxa" w:w="2835"/>
            <w:shd w:val="clear" w:color="auto" w:fill="0A2540"/>
            <w:tcBorders>
              <w:top w:val="single" w:sz="4" w:color="BFBFBF"/>
              <w:left w:val="single" w:sz="4" w:color="BFBFBF"/>
              <w:bottom w:val="single" w:sz="4" w:color="BFBFBF"/>
              <w:right w:val="single" w:sz="4" w:color="BFBFBF"/>
            </w:tcBorders>
            <w:vAlign w:val="center"/>
          </w:tcPr>
          <w:p>
            <w:pPr>
              <w:jc w:val="center"/>
            </w:pPr>
            <w:r>
              <w:rPr>
                <w:rFonts w:ascii="Calibri" w:hAnsi="Calibri"/>
                <w:b/>
                <w:color w:val="FFFFFF"/>
                <w:sz w:val="20"/>
              </w:rPr>
              <w:t>Sous-secteur</w:t>
            </w:r>
          </w:p>
        </w:tc>
        <w:tc>
          <w:tcPr>
            <w:tcW w:type="dxa" w:w="3685"/>
            <w:shd w:val="clear" w:color="auto" w:fill="0A2540"/>
            <w:tcBorders>
              <w:top w:val="single" w:sz="4" w:color="BFBFBF"/>
              <w:left w:val="single" w:sz="4" w:color="BFBFBF"/>
              <w:bottom w:val="single" w:sz="4" w:color="BFBFBF"/>
              <w:right w:val="single" w:sz="4" w:color="BFBFBF"/>
            </w:tcBorders>
            <w:vAlign w:val="center"/>
          </w:tcPr>
          <w:p>
            <w:pPr>
              <w:jc w:val="center"/>
            </w:pPr>
            <w:r>
              <w:rPr>
                <w:rFonts w:ascii="Calibri" w:hAnsi="Calibri"/>
                <w:b/>
                <w:color w:val="FFFFFF"/>
                <w:sz w:val="20"/>
              </w:rPr>
              <w:t>Type de risque</w:t>
            </w:r>
          </w:p>
        </w:tc>
        <w:tc>
          <w:tcPr>
            <w:tcW w:type="dxa" w:w="2551"/>
            <w:shd w:val="clear" w:color="auto" w:fill="0A2540"/>
            <w:tcBorders>
              <w:top w:val="single" w:sz="4" w:color="BFBFBF"/>
              <w:left w:val="single" w:sz="4" w:color="BFBFBF"/>
              <w:bottom w:val="single" w:sz="4" w:color="BFBFBF"/>
              <w:right w:val="single" w:sz="4" w:color="BFBFBF"/>
            </w:tcBorders>
            <w:vAlign w:val="center"/>
          </w:tcPr>
          <w:p>
            <w:pPr>
              <w:jc w:val="center"/>
            </w:pPr>
            <w:r>
              <w:rPr>
                <w:rFonts w:ascii="Calibri" w:hAnsi="Calibri"/>
                <w:b/>
                <w:color w:val="FFFFFF"/>
                <w:sz w:val="20"/>
              </w:rPr>
              <w:t>Marge technique typique</w:t>
            </w:r>
          </w:p>
        </w:tc>
      </w:tr>
      <w:tr>
        <w:tc>
          <w:tcPr>
            <w:tcW w:type="dxa" w:w="2835"/>
            <w:tcBorders>
              <w:top w:val="single" w:sz="4" w:color="BFBFBF"/>
              <w:left w:val="single" w:sz="4" w:color="BFBFBF"/>
              <w:bottom w:val="single" w:sz="4" w:color="BFBFBF"/>
              <w:right w:val="single" w:sz="4" w:color="BFBFBF"/>
            </w:tcBorders>
            <w:vAlign w:val="center"/>
          </w:tcPr>
          <w:p>
            <w:r>
              <w:rPr>
                <w:rFonts w:ascii="Calibri" w:hAnsi="Calibri"/>
                <w:sz w:val="20"/>
              </w:rPr>
              <w:t>Assurance Vie individuelle</w:t>
            </w:r>
          </w:p>
        </w:tc>
        <w:tc>
          <w:tcPr>
            <w:tcW w:type="dxa" w:w="3685"/>
            <w:tcBorders>
              <w:top w:val="single" w:sz="4" w:color="BFBFBF"/>
              <w:left w:val="single" w:sz="4" w:color="BFBFBF"/>
              <w:bottom w:val="single" w:sz="4" w:color="BFBFBF"/>
              <w:right w:val="single" w:sz="4" w:color="BFBFBF"/>
            </w:tcBorders>
            <w:vAlign w:val="center"/>
          </w:tcPr>
          <w:p>
            <w:r>
              <w:rPr>
                <w:rFonts w:ascii="Calibri" w:hAnsi="Calibri"/>
                <w:sz w:val="20"/>
              </w:rPr>
              <w:t>Épargne + prévoyance</w:t>
            </w:r>
          </w:p>
        </w:tc>
        <w:tc>
          <w:tcPr>
            <w:tcW w:type="dxa" w:w="2551"/>
            <w:tcBorders>
              <w:top w:val="single" w:sz="4" w:color="BFBFBF"/>
              <w:left w:val="single" w:sz="4" w:color="BFBFBF"/>
              <w:bottom w:val="single" w:sz="4" w:color="BFBFBF"/>
              <w:right w:val="single" w:sz="4" w:color="BFBFBF"/>
            </w:tcBorders>
            <w:vAlign w:val="center"/>
          </w:tcPr>
          <w:p>
            <w:r>
              <w:rPr>
                <w:rFonts w:ascii="Calibri" w:hAnsi="Calibri"/>
                <w:sz w:val="20"/>
              </w:rPr>
              <w:t>8-15%</w:t>
            </w:r>
          </w:p>
        </w:tc>
      </w:tr>
      <w:tr>
        <w:tc>
          <w:tcPr>
            <w:tcW w:type="dxa" w:w="2835"/>
            <w:shd w:val="clear" w:color="auto" w:fill="F2F2F2"/>
            <w:tcBorders>
              <w:top w:val="single" w:sz="4" w:color="BFBFBF"/>
              <w:left w:val="single" w:sz="4" w:color="BFBFBF"/>
              <w:bottom w:val="single" w:sz="4" w:color="BFBFBF"/>
              <w:right w:val="single" w:sz="4" w:color="BFBFBF"/>
            </w:tcBorders>
            <w:vAlign w:val="center"/>
          </w:tcPr>
          <w:p>
            <w:r>
              <w:rPr>
                <w:rFonts w:ascii="Calibri" w:hAnsi="Calibri"/>
                <w:sz w:val="20"/>
              </w:rPr>
              <w:t>Assurance Vie groupe (collective)</w:t>
            </w:r>
          </w:p>
        </w:tc>
        <w:tc>
          <w:tcPr>
            <w:tcW w:type="dxa" w:w="3685"/>
            <w:shd w:val="clear" w:color="auto" w:fill="F2F2F2"/>
            <w:tcBorders>
              <w:top w:val="single" w:sz="4" w:color="BFBFBF"/>
              <w:left w:val="single" w:sz="4" w:color="BFBFBF"/>
              <w:bottom w:val="single" w:sz="4" w:color="BFBFBF"/>
              <w:right w:val="single" w:sz="4" w:color="BFBFBF"/>
            </w:tcBorders>
            <w:vAlign w:val="center"/>
          </w:tcPr>
          <w:p>
            <w:r>
              <w:rPr>
                <w:rFonts w:ascii="Calibri" w:hAnsi="Calibri"/>
                <w:sz w:val="20"/>
              </w:rPr>
              <w:t>Prévoyance employeurs</w:t>
            </w:r>
          </w:p>
        </w:tc>
        <w:tc>
          <w:tcPr>
            <w:tcW w:type="dxa" w:w="2551"/>
            <w:shd w:val="clear" w:color="auto" w:fill="F2F2F2"/>
            <w:tcBorders>
              <w:top w:val="single" w:sz="4" w:color="BFBFBF"/>
              <w:left w:val="single" w:sz="4" w:color="BFBFBF"/>
              <w:bottom w:val="single" w:sz="4" w:color="BFBFBF"/>
              <w:right w:val="single" w:sz="4" w:color="BFBFBF"/>
            </w:tcBorders>
            <w:vAlign w:val="center"/>
          </w:tcPr>
          <w:p>
            <w:r>
              <w:rPr>
                <w:rFonts w:ascii="Calibri" w:hAnsi="Calibri"/>
                <w:sz w:val="20"/>
              </w:rPr>
              <w:t>5-10%</w:t>
            </w:r>
          </w:p>
        </w:tc>
      </w:tr>
      <w:tr>
        <w:tc>
          <w:tcPr>
            <w:tcW w:type="dxa" w:w="2835"/>
            <w:tcBorders>
              <w:top w:val="single" w:sz="4" w:color="BFBFBF"/>
              <w:left w:val="single" w:sz="4" w:color="BFBFBF"/>
              <w:bottom w:val="single" w:sz="4" w:color="BFBFBF"/>
              <w:right w:val="single" w:sz="4" w:color="BFBFBF"/>
            </w:tcBorders>
            <w:vAlign w:val="center"/>
          </w:tcPr>
          <w:p>
            <w:r>
              <w:rPr>
                <w:rFonts w:ascii="Calibri" w:hAnsi="Calibri"/>
                <w:sz w:val="20"/>
              </w:rPr>
              <w:t>IARD automobile</w:t>
            </w:r>
          </w:p>
        </w:tc>
        <w:tc>
          <w:tcPr>
            <w:tcW w:type="dxa" w:w="3685"/>
            <w:tcBorders>
              <w:top w:val="single" w:sz="4" w:color="BFBFBF"/>
              <w:left w:val="single" w:sz="4" w:color="BFBFBF"/>
              <w:bottom w:val="single" w:sz="4" w:color="BFBFBF"/>
              <w:right w:val="single" w:sz="4" w:color="BFBFBF"/>
            </w:tcBorders>
            <w:vAlign w:val="center"/>
          </w:tcPr>
          <w:p>
            <w:r>
              <w:rPr>
                <w:rFonts w:ascii="Calibri" w:hAnsi="Calibri"/>
                <w:sz w:val="20"/>
              </w:rPr>
              <w:t>Responsabilité civile + dommages</w:t>
            </w:r>
          </w:p>
        </w:tc>
        <w:tc>
          <w:tcPr>
            <w:tcW w:type="dxa" w:w="2551"/>
            <w:tcBorders>
              <w:top w:val="single" w:sz="4" w:color="BFBFBF"/>
              <w:left w:val="single" w:sz="4" w:color="BFBFBF"/>
              <w:bottom w:val="single" w:sz="4" w:color="BFBFBF"/>
              <w:right w:val="single" w:sz="4" w:color="BFBFBF"/>
            </w:tcBorders>
            <w:vAlign w:val="center"/>
          </w:tcPr>
          <w:p>
            <w:r>
              <w:rPr>
                <w:rFonts w:ascii="Calibri" w:hAnsi="Calibri"/>
                <w:sz w:val="20"/>
              </w:rPr>
              <w:t>3-8%</w:t>
            </w:r>
          </w:p>
        </w:tc>
      </w:tr>
      <w:tr>
        <w:tc>
          <w:tcPr>
            <w:tcW w:type="dxa" w:w="2835"/>
            <w:shd w:val="clear" w:color="auto" w:fill="F2F2F2"/>
            <w:tcBorders>
              <w:top w:val="single" w:sz="4" w:color="BFBFBF"/>
              <w:left w:val="single" w:sz="4" w:color="BFBFBF"/>
              <w:bottom w:val="single" w:sz="4" w:color="BFBFBF"/>
              <w:right w:val="single" w:sz="4" w:color="BFBFBF"/>
            </w:tcBorders>
            <w:vAlign w:val="center"/>
          </w:tcPr>
          <w:p>
            <w:r>
              <w:rPr>
                <w:rFonts w:ascii="Calibri" w:hAnsi="Calibri"/>
                <w:sz w:val="20"/>
              </w:rPr>
              <w:t>IARD entreprises (multirisque)</w:t>
            </w:r>
          </w:p>
        </w:tc>
        <w:tc>
          <w:tcPr>
            <w:tcW w:type="dxa" w:w="3685"/>
            <w:shd w:val="clear" w:color="auto" w:fill="F2F2F2"/>
            <w:tcBorders>
              <w:top w:val="single" w:sz="4" w:color="BFBFBF"/>
              <w:left w:val="single" w:sz="4" w:color="BFBFBF"/>
              <w:bottom w:val="single" w:sz="4" w:color="BFBFBF"/>
              <w:right w:val="single" w:sz="4" w:color="BFBFBF"/>
            </w:tcBorders>
            <w:vAlign w:val="center"/>
          </w:tcPr>
          <w:p>
            <w:r>
              <w:rPr>
                <w:rFonts w:ascii="Calibri" w:hAnsi="Calibri"/>
                <w:sz w:val="20"/>
              </w:rPr>
              <w:t>Incendie, RC, dommages</w:t>
            </w:r>
          </w:p>
        </w:tc>
        <w:tc>
          <w:tcPr>
            <w:tcW w:type="dxa" w:w="2551"/>
            <w:shd w:val="clear" w:color="auto" w:fill="F2F2F2"/>
            <w:tcBorders>
              <w:top w:val="single" w:sz="4" w:color="BFBFBF"/>
              <w:left w:val="single" w:sz="4" w:color="BFBFBF"/>
              <w:bottom w:val="single" w:sz="4" w:color="BFBFBF"/>
              <w:right w:val="single" w:sz="4" w:color="BFBFBF"/>
            </w:tcBorders>
            <w:vAlign w:val="center"/>
          </w:tcPr>
          <w:p>
            <w:r>
              <w:rPr>
                <w:rFonts w:ascii="Calibri" w:hAnsi="Calibri"/>
                <w:sz w:val="20"/>
              </w:rPr>
              <w:t>10-18%</w:t>
            </w:r>
          </w:p>
        </w:tc>
      </w:tr>
      <w:tr>
        <w:tc>
          <w:tcPr>
            <w:tcW w:type="dxa" w:w="2835"/>
            <w:tcBorders>
              <w:top w:val="single" w:sz="4" w:color="BFBFBF"/>
              <w:left w:val="single" w:sz="4" w:color="BFBFBF"/>
              <w:bottom w:val="single" w:sz="4" w:color="BFBFBF"/>
              <w:right w:val="single" w:sz="4" w:color="BFBFBF"/>
            </w:tcBorders>
            <w:vAlign w:val="center"/>
          </w:tcPr>
          <w:p>
            <w:r>
              <w:rPr>
                <w:rFonts w:ascii="Calibri" w:hAnsi="Calibri"/>
                <w:sz w:val="20"/>
              </w:rPr>
              <w:t>IARD transports &amp; maritime</w:t>
            </w:r>
          </w:p>
        </w:tc>
        <w:tc>
          <w:tcPr>
            <w:tcW w:type="dxa" w:w="3685"/>
            <w:tcBorders>
              <w:top w:val="single" w:sz="4" w:color="BFBFBF"/>
              <w:left w:val="single" w:sz="4" w:color="BFBFBF"/>
              <w:bottom w:val="single" w:sz="4" w:color="BFBFBF"/>
              <w:right w:val="single" w:sz="4" w:color="BFBFBF"/>
            </w:tcBorders>
            <w:vAlign w:val="center"/>
          </w:tcPr>
          <w:p>
            <w:r>
              <w:rPr>
                <w:rFonts w:ascii="Calibri" w:hAnsi="Calibri"/>
                <w:sz w:val="20"/>
              </w:rPr>
              <w:t>Marchandises, corps</w:t>
            </w:r>
          </w:p>
        </w:tc>
        <w:tc>
          <w:tcPr>
            <w:tcW w:type="dxa" w:w="2551"/>
            <w:tcBorders>
              <w:top w:val="single" w:sz="4" w:color="BFBFBF"/>
              <w:left w:val="single" w:sz="4" w:color="BFBFBF"/>
              <w:bottom w:val="single" w:sz="4" w:color="BFBFBF"/>
              <w:right w:val="single" w:sz="4" w:color="BFBFBF"/>
            </w:tcBorders>
            <w:vAlign w:val="center"/>
          </w:tcPr>
          <w:p>
            <w:r>
              <w:rPr>
                <w:rFonts w:ascii="Calibri" w:hAnsi="Calibri"/>
                <w:sz w:val="20"/>
              </w:rPr>
              <w:t>8-15%</w:t>
            </w:r>
          </w:p>
        </w:tc>
      </w:tr>
      <w:tr>
        <w:tc>
          <w:tcPr>
            <w:tcW w:type="dxa" w:w="2835"/>
            <w:shd w:val="clear" w:color="auto" w:fill="F2F2F2"/>
            <w:tcBorders>
              <w:top w:val="single" w:sz="4" w:color="BFBFBF"/>
              <w:left w:val="single" w:sz="4" w:color="BFBFBF"/>
              <w:bottom w:val="single" w:sz="4" w:color="BFBFBF"/>
              <w:right w:val="single" w:sz="4" w:color="BFBFBF"/>
            </w:tcBorders>
            <w:vAlign w:val="center"/>
          </w:tcPr>
          <w:p>
            <w:r>
              <w:rPr>
                <w:rFonts w:ascii="Calibri" w:hAnsi="Calibri"/>
                <w:sz w:val="20"/>
              </w:rPr>
              <w:t>Santé / Maladie</w:t>
            </w:r>
          </w:p>
        </w:tc>
        <w:tc>
          <w:tcPr>
            <w:tcW w:type="dxa" w:w="3685"/>
            <w:shd w:val="clear" w:color="auto" w:fill="F2F2F2"/>
            <w:tcBorders>
              <w:top w:val="single" w:sz="4" w:color="BFBFBF"/>
              <w:left w:val="single" w:sz="4" w:color="BFBFBF"/>
              <w:bottom w:val="single" w:sz="4" w:color="BFBFBF"/>
              <w:right w:val="single" w:sz="4" w:color="BFBFBF"/>
            </w:tcBorders>
            <w:vAlign w:val="center"/>
          </w:tcPr>
          <w:p>
            <w:r>
              <w:rPr>
                <w:rFonts w:ascii="Calibri" w:hAnsi="Calibri"/>
                <w:sz w:val="20"/>
              </w:rPr>
              <w:t>Frais médicaux, hospitalisation</w:t>
            </w:r>
          </w:p>
        </w:tc>
        <w:tc>
          <w:tcPr>
            <w:tcW w:type="dxa" w:w="2551"/>
            <w:shd w:val="clear" w:color="auto" w:fill="F2F2F2"/>
            <w:tcBorders>
              <w:top w:val="single" w:sz="4" w:color="BFBFBF"/>
              <w:left w:val="single" w:sz="4" w:color="BFBFBF"/>
              <w:bottom w:val="single" w:sz="4" w:color="BFBFBF"/>
              <w:right w:val="single" w:sz="4" w:color="BFBFBF"/>
            </w:tcBorders>
            <w:vAlign w:val="center"/>
          </w:tcPr>
          <w:p>
            <w:r>
              <w:rPr>
                <w:rFonts w:ascii="Calibri" w:hAnsi="Calibri"/>
                <w:sz w:val="20"/>
              </w:rPr>
              <w:t>5-12%</w:t>
            </w:r>
          </w:p>
        </w:tc>
      </w:tr>
      <w:tr>
        <w:tc>
          <w:tcPr>
            <w:tcW w:type="dxa" w:w="2835"/>
            <w:tcBorders>
              <w:top w:val="single" w:sz="4" w:color="BFBFBF"/>
              <w:left w:val="single" w:sz="4" w:color="BFBFBF"/>
              <w:bottom w:val="single" w:sz="4" w:color="BFBFBF"/>
              <w:right w:val="single" w:sz="4" w:color="BFBFBF"/>
            </w:tcBorders>
            <w:vAlign w:val="center"/>
          </w:tcPr>
          <w:p>
            <w:r>
              <w:rPr>
                <w:rFonts w:ascii="Calibri" w:hAnsi="Calibri"/>
                <w:sz w:val="20"/>
              </w:rPr>
              <w:t>Réassurance</w:t>
            </w:r>
          </w:p>
        </w:tc>
        <w:tc>
          <w:tcPr>
            <w:tcW w:type="dxa" w:w="3685"/>
            <w:tcBorders>
              <w:top w:val="single" w:sz="4" w:color="BFBFBF"/>
              <w:left w:val="single" w:sz="4" w:color="BFBFBF"/>
              <w:bottom w:val="single" w:sz="4" w:color="BFBFBF"/>
              <w:right w:val="single" w:sz="4" w:color="BFBFBF"/>
            </w:tcBorders>
            <w:vAlign w:val="center"/>
          </w:tcPr>
          <w:p>
            <w:r>
              <w:rPr>
                <w:rFonts w:ascii="Calibri" w:hAnsi="Calibri"/>
                <w:sz w:val="20"/>
              </w:rPr>
              <w:t>Cession de risques</w:t>
            </w:r>
          </w:p>
        </w:tc>
        <w:tc>
          <w:tcPr>
            <w:tcW w:type="dxa" w:w="2551"/>
            <w:tcBorders>
              <w:top w:val="single" w:sz="4" w:color="BFBFBF"/>
              <w:left w:val="single" w:sz="4" w:color="BFBFBF"/>
              <w:bottom w:val="single" w:sz="4" w:color="BFBFBF"/>
              <w:right w:val="single" w:sz="4" w:color="BFBFBF"/>
            </w:tcBorders>
            <w:vAlign w:val="center"/>
          </w:tcPr>
          <w:p>
            <w:r>
              <w:rPr>
                <w:rFonts w:ascii="Calibri" w:hAnsi="Calibri"/>
                <w:sz w:val="20"/>
              </w:rPr>
              <w:t>Spread / commission</w:t>
            </w:r>
          </w:p>
        </w:tc>
      </w:tr>
    </w:tbl>
    <w:p>
      <w:pPr>
        <w:spacing w:after="120"/>
      </w:pPr>
    </w:p>
    <w:p>
      <w:pPr>
        <w:pStyle w:val="Heading3"/>
        <w:spacing w:before="180" w:after="120"/>
      </w:pPr>
      <w:r>
        <w:rPr>
          <w:rFonts w:ascii="Calibri" w:hAnsi="Calibri"/>
          <w:b/>
          <w:color w:val="0A2540"/>
          <w:sz w:val="26"/>
        </w:rPr>
        <w:t>Spécificités réglementaires CIMA</w:t>
      </w:r>
    </w:p>
    <w:p>
      <w:pPr>
        <w:pStyle w:val="ListBullet"/>
        <w:spacing w:after="60"/>
        <w:ind w:left="340"/>
      </w:pPr>
      <w:r>
        <w:rPr>
          <w:rFonts w:ascii="Calibri" w:hAnsi="Calibri"/>
          <w:sz w:val="22"/>
        </w:rPr>
        <w:t>Provisions techniques obligatoires : provisions mathématiques (PM) en Vie, provision pour sinistres à payer (PSAP) en Non-Vie, provision pour primes non acquises (PPNA), provision pour risques en cours (PREC)</w:t>
      </w:r>
    </w:p>
    <w:p>
      <w:pPr>
        <w:pStyle w:val="ListBullet"/>
        <w:spacing w:after="60"/>
        <w:ind w:left="340"/>
      </w:pPr>
      <w:r>
        <w:rPr>
          <w:rFonts w:ascii="Calibri" w:hAnsi="Calibri"/>
          <w:sz w:val="22"/>
        </w:rPr>
        <w:t>Marge de solvabilité minimale réglementaire : un % du chiffre d'affaires (Non-Vie) ou un % des PM (Vie)</w:t>
      </w:r>
    </w:p>
    <w:p>
      <w:pPr>
        <w:pStyle w:val="ListBullet"/>
        <w:spacing w:after="60"/>
        <w:ind w:left="340"/>
      </w:pPr>
      <w:r>
        <w:rPr>
          <w:rFonts w:ascii="Calibri" w:hAnsi="Calibri"/>
          <w:sz w:val="22"/>
        </w:rPr>
        <w:t>Capital minimum : 5 Md FCFA, en cours de relèvement (jusqu'à 10 Md FCFA selon réforme finale)</w:t>
      </w:r>
    </w:p>
    <w:p>
      <w:pPr>
        <w:pStyle w:val="ListBullet"/>
        <w:spacing w:after="60"/>
        <w:ind w:left="340"/>
      </w:pPr>
      <w:r>
        <w:rPr>
          <w:rFonts w:ascii="Calibri" w:hAnsi="Calibri"/>
          <w:sz w:val="22"/>
        </w:rPr>
        <w:t>Cantonnement des placements en représentation des engagements réglementés (immobilier, obligations d'État, dépôts bancaires, actions cotées avec limites)</w:t>
      </w:r>
    </w:p>
    <w:p>
      <w:pPr>
        <w:pStyle w:val="ListBullet"/>
        <w:spacing w:after="60"/>
        <w:ind w:left="340"/>
      </w:pPr>
      <w:r>
        <w:rPr>
          <w:rFonts w:ascii="Calibri" w:hAnsi="Calibri"/>
          <w:sz w:val="22"/>
        </w:rPr>
        <w:t>Reporting trimestriel (ESC — états statistiques et comptables) et annuel détaillé à la CRCA</w:t>
      </w:r>
    </w:p>
    <w:p>
      <w:pPr>
        <w:pStyle w:val="ListBullet"/>
        <w:spacing w:after="60"/>
        <w:ind w:left="340"/>
      </w:pPr>
      <w:r>
        <w:rPr>
          <w:rFonts w:ascii="Calibri" w:hAnsi="Calibri"/>
          <w:sz w:val="22"/>
        </w:rPr>
        <w:t>Règlement Trésor Exigible (RTE) : placements liquides de premier rang disponibles pour règlement immédiat des sinistres</w:t>
      </w:r>
    </w:p>
    <w:p>
      <w:pPr>
        <w:pStyle w:val="ListBullet"/>
        <w:spacing w:after="60"/>
        <w:ind w:left="340"/>
      </w:pPr>
      <w:r>
        <w:rPr>
          <w:rFonts w:ascii="Calibri" w:hAnsi="Calibri"/>
          <w:sz w:val="22"/>
        </w:rPr>
        <w:t>Limites de réassurance par traité : conservation max, cession à des réassureurs agréés</w:t>
      </w:r>
    </w:p>
    <w:p>
      <w:pPr>
        <w:pStyle w:val="Heading3"/>
        <w:spacing w:before="180" w:after="120"/>
      </w:pPr>
      <w:r>
        <w:rPr>
          <w:rFonts w:ascii="Calibri" w:hAnsi="Calibri"/>
          <w:b/>
          <w:color w:val="0A2540"/>
          <w:sz w:val="26"/>
        </w:rPr>
        <w:t>Spécificités fiscales</w:t>
      </w:r>
    </w:p>
    <w:p>
      <w:pPr>
        <w:pStyle w:val="ListBullet"/>
        <w:spacing w:after="60"/>
        <w:ind w:left="340"/>
      </w:pPr>
      <w:r>
        <w:rPr>
          <w:rFonts w:ascii="Calibri" w:hAnsi="Calibri"/>
          <w:sz w:val="22"/>
        </w:rPr>
        <w:t>IS standard CIMA, parfois avec taux préférentiel branches Vie longue durée</w:t>
      </w:r>
    </w:p>
    <w:p>
      <w:pPr>
        <w:pStyle w:val="ListBullet"/>
        <w:spacing w:after="60"/>
        <w:ind w:left="340"/>
      </w:pPr>
      <w:r>
        <w:rPr>
          <w:rFonts w:ascii="Calibri" w:hAnsi="Calibri"/>
          <w:sz w:val="22"/>
        </w:rPr>
        <w:t>TVA non applicable sur les primes d'assurance (exonération générale)</w:t>
      </w:r>
    </w:p>
    <w:p>
      <w:pPr>
        <w:pStyle w:val="ListBullet"/>
        <w:spacing w:after="60"/>
        <w:ind w:left="340"/>
      </w:pPr>
      <w:r>
        <w:rPr>
          <w:rFonts w:ascii="Calibri" w:hAnsi="Calibri"/>
          <w:sz w:val="22"/>
        </w:rPr>
        <w:t>Taxes parafiscales sur primes : taxe d'assurance variable selon branches et pays</w:t>
      </w:r>
    </w:p>
    <w:p>
      <w:pPr>
        <w:pStyle w:val="ListBullet"/>
        <w:spacing w:after="60"/>
        <w:ind w:left="340"/>
      </w:pPr>
      <w:r>
        <w:rPr>
          <w:rFonts w:ascii="Calibri" w:hAnsi="Calibri"/>
          <w:sz w:val="22"/>
        </w:rPr>
        <w:t>Régime fiscal des PM : provisions techniques déductibles selon décrets CIMA</w:t>
      </w:r>
    </w:p>
    <w:p>
      <w:pPr>
        <w:pStyle w:val="ListBullet"/>
        <w:spacing w:after="60"/>
        <w:ind w:left="340"/>
      </w:pPr>
      <w:r>
        <w:rPr>
          <w:rFonts w:ascii="Calibri" w:hAnsi="Calibri"/>
          <w:sz w:val="22"/>
        </w:rPr>
        <w:t>IFRS 17 en option (en France obligatoire 2023+) — adoption progressive en zone CIMA</w:t>
      </w:r>
    </w:p>
    <w:p>
      <w:pPr>
        <w:pStyle w:val="Heading3"/>
        <w:spacing w:before="180" w:after="120"/>
      </w:pPr>
      <w:r>
        <w:rPr>
          <w:rFonts w:ascii="Calibri" w:hAnsi="Calibri"/>
          <w:b/>
          <w:color w:val="0A2540"/>
          <w:sz w:val="26"/>
        </w:rPr>
        <w:t>Modèle de revenus et structure du P&amp;L technique</w:t>
      </w:r>
    </w:p>
    <w:p>
      <w:pPr>
        <w:spacing w:before="0" w:after="120"/>
        <w:jc w:val="both"/>
      </w:pPr>
      <w:r>
        <w:rPr>
          <w:rFonts w:ascii="Calibri" w:hAnsi="Calibri"/>
          <w:b w:val="0"/>
          <w:i w:val="0"/>
          <w:color w:val="000000"/>
          <w:sz w:val="22"/>
        </w:rPr>
        <w:t>Le P&amp;L assurance est structuré différemment d'un P&amp;L classique. Il distingue un compte technique (activité d'assurance) et un compte non-technique (placements, résultat global).</w:t>
      </w:r>
    </w:p>
    <w:tbl>
      <w:tblPr>
        <w:tblW w:type="auto" w:w="0"/>
        <w:jc w:val="center"/>
        <w:tblLayout w:type="fixed"/>
        <w:tblLook w:firstColumn="1" w:firstRow="1" w:lastColumn="0" w:lastRow="0" w:noHBand="0" w:noVBand="1" w:val="04A0"/>
      </w:tblPr>
      <w:tblGrid>
        <w:gridCol w:w="3135"/>
        <w:gridCol w:w="3135"/>
        <w:gridCol w:w="3135"/>
      </w:tblGrid>
      <w:tr>
        <w:tc>
          <w:tcPr>
            <w:tcW w:type="dxa" w:w="3969"/>
            <w:shd w:val="clear" w:color="auto" w:fill="0A2540"/>
            <w:tcBorders>
              <w:top w:val="single" w:sz="4" w:color="BFBFBF"/>
              <w:left w:val="single" w:sz="4" w:color="BFBFBF"/>
              <w:bottom w:val="single" w:sz="4" w:color="BFBFBF"/>
              <w:right w:val="single" w:sz="4" w:color="BFBFBF"/>
            </w:tcBorders>
            <w:vAlign w:val="center"/>
          </w:tcPr>
          <w:p>
            <w:pPr>
              <w:jc w:val="center"/>
            </w:pPr>
            <w:r>
              <w:rPr>
                <w:rFonts w:ascii="Calibri" w:hAnsi="Calibri"/>
                <w:b/>
                <w:color w:val="FFFFFF"/>
                <w:sz w:val="20"/>
              </w:rPr>
              <w:t>Poste du compte technique</w:t>
            </w:r>
          </w:p>
        </w:tc>
        <w:tc>
          <w:tcPr>
            <w:tcW w:type="dxa" w:w="2551"/>
            <w:shd w:val="clear" w:color="auto" w:fill="0A2540"/>
            <w:tcBorders>
              <w:top w:val="single" w:sz="4" w:color="BFBFBF"/>
              <w:left w:val="single" w:sz="4" w:color="BFBFBF"/>
              <w:bottom w:val="single" w:sz="4" w:color="BFBFBF"/>
              <w:right w:val="single" w:sz="4" w:color="BFBFBF"/>
            </w:tcBorders>
            <w:vAlign w:val="center"/>
          </w:tcPr>
          <w:p>
            <w:pPr>
              <w:jc w:val="center"/>
            </w:pPr>
            <w:r>
              <w:rPr>
                <w:rFonts w:ascii="Calibri" w:hAnsi="Calibri"/>
                <w:b/>
                <w:color w:val="FFFFFF"/>
                <w:sz w:val="20"/>
              </w:rPr>
              <w:t>Vie</w:t>
            </w:r>
          </w:p>
        </w:tc>
        <w:tc>
          <w:tcPr>
            <w:tcW w:type="dxa" w:w="2551"/>
            <w:shd w:val="clear" w:color="auto" w:fill="0A2540"/>
            <w:tcBorders>
              <w:top w:val="single" w:sz="4" w:color="BFBFBF"/>
              <w:left w:val="single" w:sz="4" w:color="BFBFBF"/>
              <w:bottom w:val="single" w:sz="4" w:color="BFBFBF"/>
              <w:right w:val="single" w:sz="4" w:color="BFBFBF"/>
            </w:tcBorders>
            <w:vAlign w:val="center"/>
          </w:tcPr>
          <w:p>
            <w:pPr>
              <w:jc w:val="center"/>
            </w:pPr>
            <w:r>
              <w:rPr>
                <w:rFonts w:ascii="Calibri" w:hAnsi="Calibri"/>
                <w:b/>
                <w:color w:val="FFFFFF"/>
                <w:sz w:val="20"/>
              </w:rPr>
              <w:t>Non-Vie</w:t>
            </w:r>
          </w:p>
        </w:tc>
      </w:tr>
      <w:tr>
        <w:tc>
          <w:tcPr>
            <w:tcW w:type="dxa" w:w="3969"/>
            <w:tcBorders>
              <w:top w:val="single" w:sz="4" w:color="BFBFBF"/>
              <w:left w:val="single" w:sz="4" w:color="BFBFBF"/>
              <w:bottom w:val="single" w:sz="4" w:color="BFBFBF"/>
              <w:right w:val="single" w:sz="4" w:color="BFBFBF"/>
            </w:tcBorders>
            <w:vAlign w:val="center"/>
          </w:tcPr>
          <w:p>
            <w:r>
              <w:rPr>
                <w:rFonts w:ascii="Calibri" w:hAnsi="Calibri"/>
                <w:sz w:val="20"/>
              </w:rPr>
              <w:t>+ Primes acquises (nettes de réassurance)</w:t>
            </w:r>
          </w:p>
        </w:tc>
        <w:tc>
          <w:tcPr>
            <w:tcW w:type="dxa" w:w="2551"/>
            <w:tcBorders>
              <w:top w:val="single" w:sz="4" w:color="BFBFBF"/>
              <w:left w:val="single" w:sz="4" w:color="BFBFBF"/>
              <w:bottom w:val="single" w:sz="4" w:color="BFBFBF"/>
              <w:right w:val="single" w:sz="4" w:color="BFBFBF"/>
            </w:tcBorders>
            <w:vAlign w:val="center"/>
          </w:tcPr>
          <w:p>
            <w:r>
              <w:rPr>
                <w:rFonts w:ascii="Calibri" w:hAnsi="Calibri"/>
                <w:sz w:val="20"/>
              </w:rPr>
              <w:t>Oui</w:t>
            </w:r>
          </w:p>
        </w:tc>
        <w:tc>
          <w:tcPr>
            <w:tcW w:type="dxa" w:w="2551"/>
            <w:tcBorders>
              <w:top w:val="single" w:sz="4" w:color="BFBFBF"/>
              <w:left w:val="single" w:sz="4" w:color="BFBFBF"/>
              <w:bottom w:val="single" w:sz="4" w:color="BFBFBF"/>
              <w:right w:val="single" w:sz="4" w:color="BFBFBF"/>
            </w:tcBorders>
            <w:vAlign w:val="center"/>
          </w:tcPr>
          <w:p>
            <w:r>
              <w:rPr>
                <w:rFonts w:ascii="Calibri" w:hAnsi="Calibri"/>
                <w:sz w:val="20"/>
              </w:rPr>
              <w:t>Oui (primes émises ± Δ PPNA)</w:t>
            </w:r>
          </w:p>
        </w:tc>
      </w:tr>
      <w:tr>
        <w:tc>
          <w:tcPr>
            <w:tcW w:type="dxa" w:w="3969"/>
            <w:shd w:val="clear" w:color="auto" w:fill="F2F2F2"/>
            <w:tcBorders>
              <w:top w:val="single" w:sz="4" w:color="BFBFBF"/>
              <w:left w:val="single" w:sz="4" w:color="BFBFBF"/>
              <w:bottom w:val="single" w:sz="4" w:color="BFBFBF"/>
              <w:right w:val="single" w:sz="4" w:color="BFBFBF"/>
            </w:tcBorders>
            <w:vAlign w:val="center"/>
          </w:tcPr>
          <w:p>
            <w:r>
              <w:rPr>
                <w:rFonts w:ascii="Calibri" w:hAnsi="Calibri"/>
                <w:sz w:val="20"/>
              </w:rPr>
              <w:t>+ Produits des placements affectés</w:t>
            </w:r>
          </w:p>
        </w:tc>
        <w:tc>
          <w:tcPr>
            <w:tcW w:type="dxa" w:w="2551"/>
            <w:shd w:val="clear" w:color="auto" w:fill="F2F2F2"/>
            <w:tcBorders>
              <w:top w:val="single" w:sz="4" w:color="BFBFBF"/>
              <w:left w:val="single" w:sz="4" w:color="BFBFBF"/>
              <w:bottom w:val="single" w:sz="4" w:color="BFBFBF"/>
              <w:right w:val="single" w:sz="4" w:color="BFBFBF"/>
            </w:tcBorders>
            <w:vAlign w:val="center"/>
          </w:tcPr>
          <w:p>
            <w:r>
              <w:rPr>
                <w:rFonts w:ascii="Calibri" w:hAnsi="Calibri"/>
                <w:sz w:val="20"/>
              </w:rPr>
              <w:t>Oui (essentiel)</w:t>
            </w:r>
          </w:p>
        </w:tc>
        <w:tc>
          <w:tcPr>
            <w:tcW w:type="dxa" w:w="2551"/>
            <w:shd w:val="clear" w:color="auto" w:fill="F2F2F2"/>
            <w:tcBorders>
              <w:top w:val="single" w:sz="4" w:color="BFBFBF"/>
              <w:left w:val="single" w:sz="4" w:color="BFBFBF"/>
              <w:bottom w:val="single" w:sz="4" w:color="BFBFBF"/>
              <w:right w:val="single" w:sz="4" w:color="BFBFBF"/>
            </w:tcBorders>
            <w:vAlign w:val="center"/>
          </w:tcPr>
          <w:p>
            <w:r>
              <w:rPr>
                <w:rFonts w:ascii="Calibri" w:hAnsi="Calibri"/>
                <w:sz w:val="20"/>
              </w:rPr>
              <w:t>Oui (marginal)</w:t>
            </w:r>
          </w:p>
        </w:tc>
      </w:tr>
      <w:tr>
        <w:tc>
          <w:tcPr>
            <w:tcW w:type="dxa" w:w="3969"/>
            <w:tcBorders>
              <w:top w:val="single" w:sz="4" w:color="BFBFBF"/>
              <w:left w:val="single" w:sz="4" w:color="BFBFBF"/>
              <w:bottom w:val="single" w:sz="4" w:color="BFBFBF"/>
              <w:right w:val="single" w:sz="4" w:color="BFBFBF"/>
            </w:tcBorders>
            <w:vAlign w:val="center"/>
          </w:tcPr>
          <w:p>
            <w:r>
              <w:rPr>
                <w:rFonts w:ascii="Calibri" w:hAnsi="Calibri"/>
                <w:sz w:val="20"/>
              </w:rPr>
              <w:t>- Charges sinistres (payées + Δ PSAP)</w:t>
            </w:r>
          </w:p>
        </w:tc>
        <w:tc>
          <w:tcPr>
            <w:tcW w:type="dxa" w:w="2551"/>
            <w:tcBorders>
              <w:top w:val="single" w:sz="4" w:color="BFBFBF"/>
              <w:left w:val="single" w:sz="4" w:color="BFBFBF"/>
              <w:bottom w:val="single" w:sz="4" w:color="BFBFBF"/>
              <w:right w:val="single" w:sz="4" w:color="BFBFBF"/>
            </w:tcBorders>
            <w:vAlign w:val="center"/>
          </w:tcPr>
          <w:p>
            <w:r>
              <w:rPr>
                <w:rFonts w:ascii="Calibri" w:hAnsi="Calibri"/>
                <w:sz w:val="20"/>
              </w:rPr>
              <w:t>Oui (capitaux décès)</w:t>
            </w:r>
          </w:p>
        </w:tc>
        <w:tc>
          <w:tcPr>
            <w:tcW w:type="dxa" w:w="2551"/>
            <w:tcBorders>
              <w:top w:val="single" w:sz="4" w:color="BFBFBF"/>
              <w:left w:val="single" w:sz="4" w:color="BFBFBF"/>
              <w:bottom w:val="single" w:sz="4" w:color="BFBFBF"/>
              <w:right w:val="single" w:sz="4" w:color="BFBFBF"/>
            </w:tcBorders>
            <w:vAlign w:val="center"/>
          </w:tcPr>
          <w:p>
            <w:r>
              <w:rPr>
                <w:rFonts w:ascii="Calibri" w:hAnsi="Calibri"/>
                <w:sz w:val="20"/>
              </w:rPr>
              <w:t>Oui (principal poste)</w:t>
            </w:r>
          </w:p>
        </w:tc>
      </w:tr>
      <w:tr>
        <w:tc>
          <w:tcPr>
            <w:tcW w:type="dxa" w:w="3969"/>
            <w:shd w:val="clear" w:color="auto" w:fill="F2F2F2"/>
            <w:tcBorders>
              <w:top w:val="single" w:sz="4" w:color="BFBFBF"/>
              <w:left w:val="single" w:sz="4" w:color="BFBFBF"/>
              <w:bottom w:val="single" w:sz="4" w:color="BFBFBF"/>
              <w:right w:val="single" w:sz="4" w:color="BFBFBF"/>
            </w:tcBorders>
            <w:vAlign w:val="center"/>
          </w:tcPr>
          <w:p>
            <w:r>
              <w:rPr>
                <w:rFonts w:ascii="Calibri" w:hAnsi="Calibri"/>
                <w:sz w:val="20"/>
              </w:rPr>
              <w:t>- Variation des PM</w:t>
            </w:r>
          </w:p>
        </w:tc>
        <w:tc>
          <w:tcPr>
            <w:tcW w:type="dxa" w:w="2551"/>
            <w:shd w:val="clear" w:color="auto" w:fill="F2F2F2"/>
            <w:tcBorders>
              <w:top w:val="single" w:sz="4" w:color="BFBFBF"/>
              <w:left w:val="single" w:sz="4" w:color="BFBFBF"/>
              <w:bottom w:val="single" w:sz="4" w:color="BFBFBF"/>
              <w:right w:val="single" w:sz="4" w:color="BFBFBF"/>
            </w:tcBorders>
            <w:vAlign w:val="center"/>
          </w:tcPr>
          <w:p>
            <w:r>
              <w:rPr>
                <w:rFonts w:ascii="Calibri" w:hAnsi="Calibri"/>
                <w:sz w:val="20"/>
              </w:rPr>
              <w:t>Oui (très significatif)</w:t>
            </w:r>
          </w:p>
        </w:tc>
        <w:tc>
          <w:tcPr>
            <w:tcW w:type="dxa" w:w="2551"/>
            <w:shd w:val="clear" w:color="auto" w:fill="F2F2F2"/>
            <w:tcBorders>
              <w:top w:val="single" w:sz="4" w:color="BFBFBF"/>
              <w:left w:val="single" w:sz="4" w:color="BFBFBF"/>
              <w:bottom w:val="single" w:sz="4" w:color="BFBFBF"/>
              <w:right w:val="single" w:sz="4" w:color="BFBFBF"/>
            </w:tcBorders>
            <w:vAlign w:val="center"/>
          </w:tcPr>
          <w:p>
            <w:r>
              <w:rPr>
                <w:rFonts w:ascii="Calibri" w:hAnsi="Calibri"/>
                <w:sz w:val="20"/>
              </w:rPr>
              <w:t>—</w:t>
            </w:r>
          </w:p>
        </w:tc>
      </w:tr>
      <w:tr>
        <w:tc>
          <w:tcPr>
            <w:tcW w:type="dxa" w:w="3969"/>
            <w:tcBorders>
              <w:top w:val="single" w:sz="4" w:color="BFBFBF"/>
              <w:left w:val="single" w:sz="4" w:color="BFBFBF"/>
              <w:bottom w:val="single" w:sz="4" w:color="BFBFBF"/>
              <w:right w:val="single" w:sz="4" w:color="BFBFBF"/>
            </w:tcBorders>
            <w:vAlign w:val="center"/>
          </w:tcPr>
          <w:p>
            <w:r>
              <w:rPr>
                <w:rFonts w:ascii="Calibri" w:hAnsi="Calibri"/>
                <w:sz w:val="20"/>
              </w:rPr>
              <w:t>- Participation aux bénéfices (PB) versée</w:t>
            </w:r>
          </w:p>
        </w:tc>
        <w:tc>
          <w:tcPr>
            <w:tcW w:type="dxa" w:w="2551"/>
            <w:tcBorders>
              <w:top w:val="single" w:sz="4" w:color="BFBFBF"/>
              <w:left w:val="single" w:sz="4" w:color="BFBFBF"/>
              <w:bottom w:val="single" w:sz="4" w:color="BFBFBF"/>
              <w:right w:val="single" w:sz="4" w:color="BFBFBF"/>
            </w:tcBorders>
            <w:vAlign w:val="center"/>
          </w:tcPr>
          <w:p>
            <w:r>
              <w:rPr>
                <w:rFonts w:ascii="Calibri" w:hAnsi="Calibri"/>
                <w:sz w:val="20"/>
              </w:rPr>
              <w:t>Oui (Vie épargne)</w:t>
            </w:r>
          </w:p>
        </w:tc>
        <w:tc>
          <w:tcPr>
            <w:tcW w:type="dxa" w:w="2551"/>
            <w:tcBorders>
              <w:top w:val="single" w:sz="4" w:color="BFBFBF"/>
              <w:left w:val="single" w:sz="4" w:color="BFBFBF"/>
              <w:bottom w:val="single" w:sz="4" w:color="BFBFBF"/>
              <w:right w:val="single" w:sz="4" w:color="BFBFBF"/>
            </w:tcBorders>
            <w:vAlign w:val="center"/>
          </w:tcPr>
          <w:p>
            <w:r>
              <w:rPr>
                <w:rFonts w:ascii="Calibri" w:hAnsi="Calibri"/>
                <w:sz w:val="20"/>
              </w:rPr>
              <w:t>—</w:t>
            </w:r>
          </w:p>
        </w:tc>
      </w:tr>
      <w:tr>
        <w:tc>
          <w:tcPr>
            <w:tcW w:type="dxa" w:w="3969"/>
            <w:shd w:val="clear" w:color="auto" w:fill="F2F2F2"/>
            <w:tcBorders>
              <w:top w:val="single" w:sz="4" w:color="BFBFBF"/>
              <w:left w:val="single" w:sz="4" w:color="BFBFBF"/>
              <w:bottom w:val="single" w:sz="4" w:color="BFBFBF"/>
              <w:right w:val="single" w:sz="4" w:color="BFBFBF"/>
            </w:tcBorders>
            <w:vAlign w:val="center"/>
          </w:tcPr>
          <w:p>
            <w:r>
              <w:rPr>
                <w:rFonts w:ascii="Calibri" w:hAnsi="Calibri"/>
                <w:sz w:val="20"/>
              </w:rPr>
              <w:t>- Frais d'acquisition (commissions agents)</w:t>
            </w:r>
          </w:p>
        </w:tc>
        <w:tc>
          <w:tcPr>
            <w:tcW w:type="dxa" w:w="2551"/>
            <w:shd w:val="clear" w:color="auto" w:fill="F2F2F2"/>
            <w:tcBorders>
              <w:top w:val="single" w:sz="4" w:color="BFBFBF"/>
              <w:left w:val="single" w:sz="4" w:color="BFBFBF"/>
              <w:bottom w:val="single" w:sz="4" w:color="BFBFBF"/>
              <w:right w:val="single" w:sz="4" w:color="BFBFBF"/>
            </w:tcBorders>
            <w:vAlign w:val="center"/>
          </w:tcPr>
          <w:p>
            <w:r>
              <w:rPr>
                <w:rFonts w:ascii="Calibri" w:hAnsi="Calibri"/>
                <w:sz w:val="20"/>
              </w:rPr>
              <w:t>Oui</w:t>
            </w:r>
          </w:p>
        </w:tc>
        <w:tc>
          <w:tcPr>
            <w:tcW w:type="dxa" w:w="2551"/>
            <w:shd w:val="clear" w:color="auto" w:fill="F2F2F2"/>
            <w:tcBorders>
              <w:top w:val="single" w:sz="4" w:color="BFBFBF"/>
              <w:left w:val="single" w:sz="4" w:color="BFBFBF"/>
              <w:bottom w:val="single" w:sz="4" w:color="BFBFBF"/>
              <w:right w:val="single" w:sz="4" w:color="BFBFBF"/>
            </w:tcBorders>
            <w:vAlign w:val="center"/>
          </w:tcPr>
          <w:p>
            <w:r>
              <w:rPr>
                <w:rFonts w:ascii="Calibri" w:hAnsi="Calibri"/>
                <w:sz w:val="20"/>
              </w:rPr>
              <w:t>Oui</w:t>
            </w:r>
          </w:p>
        </w:tc>
      </w:tr>
      <w:tr>
        <w:tc>
          <w:tcPr>
            <w:tcW w:type="dxa" w:w="3969"/>
            <w:tcBorders>
              <w:top w:val="single" w:sz="4" w:color="BFBFBF"/>
              <w:left w:val="single" w:sz="4" w:color="BFBFBF"/>
              <w:bottom w:val="single" w:sz="4" w:color="BFBFBF"/>
              <w:right w:val="single" w:sz="4" w:color="BFBFBF"/>
            </w:tcBorders>
            <w:vAlign w:val="center"/>
          </w:tcPr>
          <w:p>
            <w:r>
              <w:rPr>
                <w:rFonts w:ascii="Calibri" w:hAnsi="Calibri"/>
                <w:sz w:val="20"/>
              </w:rPr>
              <w:t>- Frais d'administration &amp; gestion</w:t>
            </w:r>
          </w:p>
        </w:tc>
        <w:tc>
          <w:tcPr>
            <w:tcW w:type="dxa" w:w="2551"/>
            <w:tcBorders>
              <w:top w:val="single" w:sz="4" w:color="BFBFBF"/>
              <w:left w:val="single" w:sz="4" w:color="BFBFBF"/>
              <w:bottom w:val="single" w:sz="4" w:color="BFBFBF"/>
              <w:right w:val="single" w:sz="4" w:color="BFBFBF"/>
            </w:tcBorders>
            <w:vAlign w:val="center"/>
          </w:tcPr>
          <w:p>
            <w:r>
              <w:rPr>
                <w:rFonts w:ascii="Calibri" w:hAnsi="Calibri"/>
                <w:sz w:val="20"/>
              </w:rPr>
              <w:t>Oui</w:t>
            </w:r>
          </w:p>
        </w:tc>
        <w:tc>
          <w:tcPr>
            <w:tcW w:type="dxa" w:w="2551"/>
            <w:tcBorders>
              <w:top w:val="single" w:sz="4" w:color="BFBFBF"/>
              <w:left w:val="single" w:sz="4" w:color="BFBFBF"/>
              <w:bottom w:val="single" w:sz="4" w:color="BFBFBF"/>
              <w:right w:val="single" w:sz="4" w:color="BFBFBF"/>
            </w:tcBorders>
            <w:vAlign w:val="center"/>
          </w:tcPr>
          <w:p>
            <w:r>
              <w:rPr>
                <w:rFonts w:ascii="Calibri" w:hAnsi="Calibri"/>
                <w:sz w:val="20"/>
              </w:rPr>
              <w:t>Oui</w:t>
            </w:r>
          </w:p>
        </w:tc>
      </w:tr>
      <w:tr>
        <w:tc>
          <w:tcPr>
            <w:tcW w:type="dxa" w:w="3969"/>
            <w:shd w:val="clear" w:color="auto" w:fill="F2F2F2"/>
            <w:tcBorders>
              <w:top w:val="single" w:sz="4" w:color="BFBFBF"/>
              <w:left w:val="single" w:sz="4" w:color="BFBFBF"/>
              <w:bottom w:val="single" w:sz="4" w:color="BFBFBF"/>
              <w:right w:val="single" w:sz="4" w:color="BFBFBF"/>
            </w:tcBorders>
            <w:vAlign w:val="center"/>
          </w:tcPr>
          <w:p>
            <w:r>
              <w:rPr>
                <w:rFonts w:ascii="Calibri" w:hAnsi="Calibri"/>
                <w:sz w:val="20"/>
              </w:rPr>
              <w:t>= Résultat technique</w:t>
            </w:r>
          </w:p>
        </w:tc>
        <w:tc>
          <w:tcPr>
            <w:tcW w:type="dxa" w:w="2551"/>
            <w:shd w:val="clear" w:color="auto" w:fill="F2F2F2"/>
            <w:tcBorders>
              <w:top w:val="single" w:sz="4" w:color="BFBFBF"/>
              <w:left w:val="single" w:sz="4" w:color="BFBFBF"/>
              <w:bottom w:val="single" w:sz="4" w:color="BFBFBF"/>
              <w:right w:val="single" w:sz="4" w:color="BFBFBF"/>
            </w:tcBorders>
            <w:vAlign w:val="center"/>
          </w:tcPr>
          <w:p>
            <w:r>
              <w:rPr>
                <w:rFonts w:ascii="Calibri" w:hAnsi="Calibri"/>
                <w:sz w:val="20"/>
              </w:rPr>
              <w:t>Oui</w:t>
            </w:r>
          </w:p>
        </w:tc>
        <w:tc>
          <w:tcPr>
            <w:tcW w:type="dxa" w:w="2551"/>
            <w:shd w:val="clear" w:color="auto" w:fill="F2F2F2"/>
            <w:tcBorders>
              <w:top w:val="single" w:sz="4" w:color="BFBFBF"/>
              <w:left w:val="single" w:sz="4" w:color="BFBFBF"/>
              <w:bottom w:val="single" w:sz="4" w:color="BFBFBF"/>
              <w:right w:val="single" w:sz="4" w:color="BFBFBF"/>
            </w:tcBorders>
            <w:vAlign w:val="center"/>
          </w:tcPr>
          <w:p>
            <w:r>
              <w:rPr>
                <w:rFonts w:ascii="Calibri" w:hAnsi="Calibri"/>
                <w:sz w:val="20"/>
              </w:rPr>
              <w:t>Oui</w:t>
            </w:r>
          </w:p>
        </w:tc>
      </w:tr>
    </w:tbl>
    <w:p>
      <w:pPr>
        <w:spacing w:after="120"/>
      </w:pPr>
    </w:p>
    <w:tbl>
      <w:tblPr>
        <w:tblW w:type="auto" w:w="0"/>
        <w:tblLook w:firstColumn="1" w:firstRow="1" w:lastColumn="0" w:lastRow="0" w:noHBand="0" w:noVBand="1" w:val="04A0"/>
      </w:tblPr>
      <w:tblGrid>
        <w:gridCol w:w="9406"/>
      </w:tblGrid>
      <w:tr>
        <w:tc>
          <w:tcPr>
            <w:tcW w:type="dxa" w:w="9406"/>
            <w:shd w:val="clear" w:color="auto" w:fill="D6E0EC"/>
            <w:tcBorders>
              <w:top w:val="single" w:sz="12" w:color="0A2540"/>
              <w:bottom w:val="single" w:sz="4" w:color="0A2540"/>
              <w:left w:val="single" w:sz="24" w:color="0A2540"/>
              <w:right w:val="single" w:sz="4" w:color="0A2540"/>
            </w:tcBorders>
          </w:tcPr>
          <w:p>
            <w:r>
              <w:rPr>
                <w:rFonts w:ascii="Calibri" w:hAnsi="Calibri"/>
                <w:b/>
                <w:color w:val="0A2540"/>
                <w:sz w:val="22"/>
              </w:rPr>
              <w:t>Distinction Vie vs Non-Vie</w:t>
            </w:r>
          </w:p>
          <w:p>
            <w:pPr>
              <w:jc w:val="both"/>
            </w:pPr>
            <w:r>
              <w:rPr>
                <w:rFonts w:ascii="Calibri" w:hAnsi="Calibri"/>
                <w:sz w:val="22"/>
              </w:rPr>
              <w:t>En Vie, le poids des PM (provisions mathématiques) est tel qu'il fait basculer l'économie du modèle vers les placements : un assureur Vie est avant tout un gestionnaire d'actifs adossés à des passifs longs. En Non-Vie, c'est inverse : la qualité de la souscription (loss ratio) prime, les placements ne servent qu'à couvrir les frais de gestion. L'outil doit gérer ces deux logiques en parallèle.</w:t>
            </w:r>
          </w:p>
        </w:tc>
      </w:tr>
    </w:tbl>
    <w:p>
      <w:pPr>
        <w:spacing w:after="120"/>
      </w:pPr>
    </w:p>
    <w:p>
      <w:pPr>
        <w:pStyle w:val="Heading3"/>
        <w:spacing w:before="180" w:after="120"/>
      </w:pPr>
      <w:r>
        <w:rPr>
          <w:rFonts w:ascii="Calibri" w:hAnsi="Calibri"/>
          <w:b/>
          <w:color w:val="0A2540"/>
          <w:sz w:val="26"/>
        </w:rPr>
        <w:t>Hypothèses clés (intrants paramétrables)</w:t>
      </w:r>
    </w:p>
    <w:p>
      <w:pPr>
        <w:pStyle w:val="ListBullet"/>
        <w:spacing w:after="60"/>
        <w:ind w:left="340"/>
      </w:pPr>
      <w:r>
        <w:rPr>
          <w:rFonts w:ascii="Calibri" w:hAnsi="Calibri"/>
          <w:sz w:val="22"/>
        </w:rPr>
        <w:t>Vie : nombre de polices vendues par produit (mixte, terme fixe, capitalisation, retraite), prime moyenne, durée moyenne, taux de chute (lapse rate), taux de rachat</w:t>
      </w:r>
    </w:p>
    <w:p>
      <w:pPr>
        <w:pStyle w:val="ListBullet"/>
        <w:spacing w:after="60"/>
        <w:ind w:left="340"/>
      </w:pPr>
      <w:r>
        <w:rPr>
          <w:rFonts w:ascii="Calibri" w:hAnsi="Calibri"/>
          <w:sz w:val="22"/>
        </w:rPr>
        <w:t>Vie : table de mortalité applicable, taux technique des PM, table actuarielle, rendement minimum garanti</w:t>
      </w:r>
    </w:p>
    <w:p>
      <w:pPr>
        <w:pStyle w:val="ListBullet"/>
        <w:spacing w:after="60"/>
        <w:ind w:left="340"/>
      </w:pPr>
      <w:r>
        <w:rPr>
          <w:rFonts w:ascii="Calibri" w:hAnsi="Calibri"/>
          <w:sz w:val="22"/>
        </w:rPr>
        <w:t>Vie : participation aux bénéfices contractuelle (% du résultat technique)</w:t>
      </w:r>
    </w:p>
    <w:p>
      <w:pPr>
        <w:pStyle w:val="ListBullet"/>
        <w:spacing w:after="60"/>
        <w:ind w:left="340"/>
      </w:pPr>
      <w:r>
        <w:rPr>
          <w:rFonts w:ascii="Calibri" w:hAnsi="Calibri"/>
          <w:sz w:val="22"/>
        </w:rPr>
        <w:t>Non-Vie : portefeuille par branche, primes moyennes, croissance, taux de renouvellement</w:t>
      </w:r>
    </w:p>
    <w:p>
      <w:pPr>
        <w:pStyle w:val="ListBullet"/>
        <w:spacing w:after="60"/>
        <w:ind w:left="340"/>
      </w:pPr>
      <w:r>
        <w:rPr>
          <w:rFonts w:ascii="Calibri" w:hAnsi="Calibri"/>
          <w:sz w:val="22"/>
        </w:rPr>
        <w:t>Non-Vie : sinistralité (fréquence × coût moyen par branche), loss ratio cible, IBNR ratio</w:t>
      </w:r>
    </w:p>
    <w:p>
      <w:pPr>
        <w:pStyle w:val="ListBullet"/>
        <w:spacing w:after="60"/>
        <w:ind w:left="340"/>
      </w:pPr>
      <w:r>
        <w:rPr>
          <w:rFonts w:ascii="Calibri" w:hAnsi="Calibri"/>
          <w:sz w:val="22"/>
        </w:rPr>
        <w:t>Frais d'acquisition : commissions agents/courtiers (%), bonus, frais marketing</w:t>
      </w:r>
    </w:p>
    <w:p>
      <w:pPr>
        <w:pStyle w:val="ListBullet"/>
        <w:spacing w:after="60"/>
        <w:ind w:left="340"/>
      </w:pPr>
      <w:r>
        <w:rPr>
          <w:rFonts w:ascii="Calibri" w:hAnsi="Calibri"/>
          <w:sz w:val="22"/>
        </w:rPr>
        <w:t>Frais de gestion : RH, IT, immobilier, externalisation des sinistres</w:t>
      </w:r>
    </w:p>
    <w:p>
      <w:pPr>
        <w:pStyle w:val="ListBullet"/>
        <w:spacing w:after="60"/>
        <w:ind w:left="340"/>
      </w:pPr>
      <w:r>
        <w:rPr>
          <w:rFonts w:ascii="Calibri" w:hAnsi="Calibri"/>
          <w:sz w:val="22"/>
        </w:rPr>
        <w:t>Réassurance : traité par branche, taux de cession, commission de réassurance perçue</w:t>
      </w:r>
    </w:p>
    <w:p>
      <w:pPr>
        <w:pStyle w:val="ListBullet"/>
        <w:spacing w:after="60"/>
        <w:ind w:left="340"/>
      </w:pPr>
      <w:r>
        <w:rPr>
          <w:rFonts w:ascii="Calibri" w:hAnsi="Calibri"/>
          <w:sz w:val="22"/>
        </w:rPr>
        <w:t>Placements : allocation cible (immobilier, obligations, dépôts, actions), rendement attendu par classe</w:t>
      </w:r>
    </w:p>
    <w:p>
      <w:pPr>
        <w:pStyle w:val="ListBullet"/>
        <w:spacing w:after="60"/>
        <w:ind w:left="340"/>
      </w:pPr>
      <w:r>
        <w:rPr>
          <w:rFonts w:ascii="Calibri" w:hAnsi="Calibri"/>
          <w:sz w:val="22"/>
        </w:rPr>
        <w:t>Capital initial, dividendes versés, augmentations de capital prévues</w:t>
      </w:r>
    </w:p>
    <w:p>
      <w:pPr>
        <w:pStyle w:val="Heading3"/>
        <w:spacing w:before="180" w:after="120"/>
      </w:pPr>
      <w:r>
        <w:rPr>
          <w:rFonts w:ascii="Calibri" w:hAnsi="Calibri"/>
          <w:b/>
          <w:color w:val="0A2540"/>
          <w:sz w:val="26"/>
        </w:rPr>
        <w:t>Règles de calcul critiques</w:t>
      </w:r>
    </w:p>
    <w:tbl>
      <w:tblPr>
        <w:tblW w:type="auto" w:w="0"/>
        <w:jc w:val="center"/>
        <w:tblLayout w:type="fixed"/>
        <w:tblLook w:firstColumn="1" w:firstRow="1" w:lastColumn="0" w:lastRow="0" w:noHBand="0" w:noVBand="1" w:val="04A0"/>
      </w:tblPr>
      <w:tblGrid>
        <w:gridCol w:w="3135"/>
        <w:gridCol w:w="3135"/>
        <w:gridCol w:w="3135"/>
      </w:tblGrid>
      <w:tr>
        <w:tc>
          <w:tcPr>
            <w:tcW w:type="dxa" w:w="2835"/>
            <w:shd w:val="clear" w:color="auto" w:fill="0A2540"/>
            <w:tcBorders>
              <w:top w:val="single" w:sz="4" w:color="BFBFBF"/>
              <w:left w:val="single" w:sz="4" w:color="BFBFBF"/>
              <w:bottom w:val="single" w:sz="4" w:color="BFBFBF"/>
              <w:right w:val="single" w:sz="4" w:color="BFBFBF"/>
            </w:tcBorders>
            <w:vAlign w:val="center"/>
          </w:tcPr>
          <w:p>
            <w:pPr>
              <w:jc w:val="center"/>
            </w:pPr>
            <w:r>
              <w:rPr>
                <w:rFonts w:ascii="Calibri" w:hAnsi="Calibri"/>
                <w:b/>
                <w:color w:val="FFFFFF"/>
                <w:sz w:val="20"/>
              </w:rPr>
              <w:t>Calcul</w:t>
            </w:r>
          </w:p>
        </w:tc>
        <w:tc>
          <w:tcPr>
            <w:tcW w:type="dxa" w:w="4535"/>
            <w:shd w:val="clear" w:color="auto" w:fill="0A2540"/>
            <w:tcBorders>
              <w:top w:val="single" w:sz="4" w:color="BFBFBF"/>
              <w:left w:val="single" w:sz="4" w:color="BFBFBF"/>
              <w:bottom w:val="single" w:sz="4" w:color="BFBFBF"/>
              <w:right w:val="single" w:sz="4" w:color="BFBFBF"/>
            </w:tcBorders>
            <w:vAlign w:val="center"/>
          </w:tcPr>
          <w:p>
            <w:pPr>
              <w:jc w:val="center"/>
            </w:pPr>
            <w:r>
              <w:rPr>
                <w:rFonts w:ascii="Calibri" w:hAnsi="Calibri"/>
                <w:b/>
                <w:color w:val="FFFFFF"/>
                <w:sz w:val="20"/>
              </w:rPr>
              <w:t>Formule type</w:t>
            </w:r>
          </w:p>
        </w:tc>
        <w:tc>
          <w:tcPr>
            <w:tcW w:type="dxa" w:w="1701"/>
            <w:shd w:val="clear" w:color="auto" w:fill="0A2540"/>
            <w:tcBorders>
              <w:top w:val="single" w:sz="4" w:color="BFBFBF"/>
              <w:left w:val="single" w:sz="4" w:color="BFBFBF"/>
              <w:bottom w:val="single" w:sz="4" w:color="BFBFBF"/>
              <w:right w:val="single" w:sz="4" w:color="BFBFBF"/>
            </w:tcBorders>
            <w:vAlign w:val="center"/>
          </w:tcPr>
          <w:p>
            <w:pPr>
              <w:jc w:val="center"/>
            </w:pPr>
            <w:r>
              <w:rPr>
                <w:rFonts w:ascii="Calibri" w:hAnsi="Calibri"/>
                <w:b/>
                <w:color w:val="FFFFFF"/>
                <w:sz w:val="20"/>
              </w:rPr>
              <w:t>Norme</w:t>
            </w:r>
          </w:p>
        </w:tc>
      </w:tr>
      <w:tr>
        <w:tc>
          <w:tcPr>
            <w:tcW w:type="dxa" w:w="2835"/>
            <w:tcBorders>
              <w:top w:val="single" w:sz="4" w:color="BFBFBF"/>
              <w:left w:val="single" w:sz="4" w:color="BFBFBF"/>
              <w:bottom w:val="single" w:sz="4" w:color="BFBFBF"/>
              <w:right w:val="single" w:sz="4" w:color="BFBFBF"/>
            </w:tcBorders>
            <w:vAlign w:val="center"/>
          </w:tcPr>
          <w:p>
            <w:r>
              <w:rPr>
                <w:rFonts w:ascii="Calibri" w:hAnsi="Calibri"/>
                <w:sz w:val="20"/>
              </w:rPr>
              <w:t>PPNA fin de période</w:t>
            </w:r>
          </w:p>
        </w:tc>
        <w:tc>
          <w:tcPr>
            <w:tcW w:type="dxa" w:w="4535"/>
            <w:tcBorders>
              <w:top w:val="single" w:sz="4" w:color="BFBFBF"/>
              <w:left w:val="single" w:sz="4" w:color="BFBFBF"/>
              <w:bottom w:val="single" w:sz="4" w:color="BFBFBF"/>
              <w:right w:val="single" w:sz="4" w:color="BFBFBF"/>
            </w:tcBorders>
            <w:vAlign w:val="center"/>
          </w:tcPr>
          <w:p>
            <w:r>
              <w:rPr>
                <w:rFonts w:ascii="Calibri" w:hAnsi="Calibri"/>
                <w:sz w:val="20"/>
              </w:rPr>
              <w:t>Primes émises × (1 - n/12) au prorata temporis</w:t>
            </w:r>
          </w:p>
        </w:tc>
        <w:tc>
          <w:tcPr>
            <w:tcW w:type="dxa" w:w="1701"/>
            <w:tcBorders>
              <w:top w:val="single" w:sz="4" w:color="BFBFBF"/>
              <w:left w:val="single" w:sz="4" w:color="BFBFBF"/>
              <w:bottom w:val="single" w:sz="4" w:color="BFBFBF"/>
              <w:right w:val="single" w:sz="4" w:color="BFBFBF"/>
            </w:tcBorders>
            <w:vAlign w:val="center"/>
          </w:tcPr>
          <w:p>
            <w:r>
              <w:rPr>
                <w:rFonts w:ascii="Calibri" w:hAnsi="Calibri"/>
                <w:sz w:val="20"/>
              </w:rPr>
              <w:t>CIMA art. 334-7</w:t>
            </w:r>
          </w:p>
        </w:tc>
      </w:tr>
      <w:tr>
        <w:tc>
          <w:tcPr>
            <w:tcW w:type="dxa" w:w="2835"/>
            <w:shd w:val="clear" w:color="auto" w:fill="F2F2F2"/>
            <w:tcBorders>
              <w:top w:val="single" w:sz="4" w:color="BFBFBF"/>
              <w:left w:val="single" w:sz="4" w:color="BFBFBF"/>
              <w:bottom w:val="single" w:sz="4" w:color="BFBFBF"/>
              <w:right w:val="single" w:sz="4" w:color="BFBFBF"/>
            </w:tcBorders>
            <w:vAlign w:val="center"/>
          </w:tcPr>
          <w:p>
            <w:r>
              <w:rPr>
                <w:rFonts w:ascii="Calibri" w:hAnsi="Calibri"/>
                <w:sz w:val="20"/>
              </w:rPr>
              <w:t>PSAP</w:t>
            </w:r>
          </w:p>
        </w:tc>
        <w:tc>
          <w:tcPr>
            <w:tcW w:type="dxa" w:w="4535"/>
            <w:shd w:val="clear" w:color="auto" w:fill="F2F2F2"/>
            <w:tcBorders>
              <w:top w:val="single" w:sz="4" w:color="BFBFBF"/>
              <w:left w:val="single" w:sz="4" w:color="BFBFBF"/>
              <w:bottom w:val="single" w:sz="4" w:color="BFBFBF"/>
              <w:right w:val="single" w:sz="4" w:color="BFBFBF"/>
            </w:tcBorders>
            <w:vAlign w:val="center"/>
          </w:tcPr>
          <w:p>
            <w:r>
              <w:rPr>
                <w:rFonts w:ascii="Calibri" w:hAnsi="Calibri"/>
                <w:sz w:val="20"/>
              </w:rPr>
              <w:t>Sinistres déclarés non encore réglés + IBNR estimé</w:t>
            </w:r>
          </w:p>
        </w:tc>
        <w:tc>
          <w:tcPr>
            <w:tcW w:type="dxa" w:w="1701"/>
            <w:shd w:val="clear" w:color="auto" w:fill="F2F2F2"/>
            <w:tcBorders>
              <w:top w:val="single" w:sz="4" w:color="BFBFBF"/>
              <w:left w:val="single" w:sz="4" w:color="BFBFBF"/>
              <w:bottom w:val="single" w:sz="4" w:color="BFBFBF"/>
              <w:right w:val="single" w:sz="4" w:color="BFBFBF"/>
            </w:tcBorders>
            <w:vAlign w:val="center"/>
          </w:tcPr>
          <w:p>
            <w:r>
              <w:rPr>
                <w:rFonts w:ascii="Calibri" w:hAnsi="Calibri"/>
                <w:sz w:val="20"/>
              </w:rPr>
              <w:t>CIMA art. 334-12</w:t>
            </w:r>
          </w:p>
        </w:tc>
      </w:tr>
      <w:tr>
        <w:tc>
          <w:tcPr>
            <w:tcW w:type="dxa" w:w="2835"/>
            <w:tcBorders>
              <w:top w:val="single" w:sz="4" w:color="BFBFBF"/>
              <w:left w:val="single" w:sz="4" w:color="BFBFBF"/>
              <w:bottom w:val="single" w:sz="4" w:color="BFBFBF"/>
              <w:right w:val="single" w:sz="4" w:color="BFBFBF"/>
            </w:tcBorders>
            <w:vAlign w:val="center"/>
          </w:tcPr>
          <w:p>
            <w:r>
              <w:rPr>
                <w:rFonts w:ascii="Calibri" w:hAnsi="Calibri"/>
                <w:sz w:val="20"/>
              </w:rPr>
              <w:t>PM (Vie)</w:t>
            </w:r>
          </w:p>
        </w:tc>
        <w:tc>
          <w:tcPr>
            <w:tcW w:type="dxa" w:w="4535"/>
            <w:tcBorders>
              <w:top w:val="single" w:sz="4" w:color="BFBFBF"/>
              <w:left w:val="single" w:sz="4" w:color="BFBFBF"/>
              <w:bottom w:val="single" w:sz="4" w:color="BFBFBF"/>
              <w:right w:val="single" w:sz="4" w:color="BFBFBF"/>
            </w:tcBorders>
            <w:vAlign w:val="center"/>
          </w:tcPr>
          <w:p>
            <w:r>
              <w:rPr>
                <w:rFonts w:ascii="Calibri" w:hAnsi="Calibri"/>
                <w:sz w:val="20"/>
              </w:rPr>
              <w:t>Σ engagements actualisés au taux technique - primes futures</w:t>
            </w:r>
          </w:p>
        </w:tc>
        <w:tc>
          <w:tcPr>
            <w:tcW w:type="dxa" w:w="1701"/>
            <w:tcBorders>
              <w:top w:val="single" w:sz="4" w:color="BFBFBF"/>
              <w:left w:val="single" w:sz="4" w:color="BFBFBF"/>
              <w:bottom w:val="single" w:sz="4" w:color="BFBFBF"/>
              <w:right w:val="single" w:sz="4" w:color="BFBFBF"/>
            </w:tcBorders>
            <w:vAlign w:val="center"/>
          </w:tcPr>
          <w:p>
            <w:r>
              <w:rPr>
                <w:rFonts w:ascii="Calibri" w:hAnsi="Calibri"/>
                <w:sz w:val="20"/>
              </w:rPr>
              <w:t>Actuarielle</w:t>
            </w:r>
          </w:p>
        </w:tc>
      </w:tr>
      <w:tr>
        <w:tc>
          <w:tcPr>
            <w:tcW w:type="dxa" w:w="2835"/>
            <w:shd w:val="clear" w:color="auto" w:fill="F2F2F2"/>
            <w:tcBorders>
              <w:top w:val="single" w:sz="4" w:color="BFBFBF"/>
              <w:left w:val="single" w:sz="4" w:color="BFBFBF"/>
              <w:bottom w:val="single" w:sz="4" w:color="BFBFBF"/>
              <w:right w:val="single" w:sz="4" w:color="BFBFBF"/>
            </w:tcBorders>
            <w:vAlign w:val="center"/>
          </w:tcPr>
          <w:p>
            <w:r>
              <w:rPr>
                <w:rFonts w:ascii="Calibri" w:hAnsi="Calibri"/>
                <w:sz w:val="20"/>
              </w:rPr>
              <w:t>Loss ratio</w:t>
            </w:r>
          </w:p>
        </w:tc>
        <w:tc>
          <w:tcPr>
            <w:tcW w:type="dxa" w:w="4535"/>
            <w:shd w:val="clear" w:color="auto" w:fill="F2F2F2"/>
            <w:tcBorders>
              <w:top w:val="single" w:sz="4" w:color="BFBFBF"/>
              <w:left w:val="single" w:sz="4" w:color="BFBFBF"/>
              <w:bottom w:val="single" w:sz="4" w:color="BFBFBF"/>
              <w:right w:val="single" w:sz="4" w:color="BFBFBF"/>
            </w:tcBorders>
            <w:vAlign w:val="center"/>
          </w:tcPr>
          <w:p>
            <w:r>
              <w:rPr>
                <w:rFonts w:ascii="Calibri" w:hAnsi="Calibri"/>
                <w:sz w:val="20"/>
              </w:rPr>
              <w:t>Sinistres + Δ PSAP / Primes acquises</w:t>
            </w:r>
          </w:p>
        </w:tc>
        <w:tc>
          <w:tcPr>
            <w:tcW w:type="dxa" w:w="1701"/>
            <w:shd w:val="clear" w:color="auto" w:fill="F2F2F2"/>
            <w:tcBorders>
              <w:top w:val="single" w:sz="4" w:color="BFBFBF"/>
              <w:left w:val="single" w:sz="4" w:color="BFBFBF"/>
              <w:bottom w:val="single" w:sz="4" w:color="BFBFBF"/>
              <w:right w:val="single" w:sz="4" w:color="BFBFBF"/>
            </w:tcBorders>
            <w:vAlign w:val="center"/>
          </w:tcPr>
          <w:p>
            <w:r>
              <w:rPr>
                <w:rFonts w:ascii="Calibri" w:hAnsi="Calibri"/>
                <w:sz w:val="20"/>
              </w:rPr>
              <w:t>Standard</w:t>
            </w:r>
          </w:p>
        </w:tc>
      </w:tr>
      <w:tr>
        <w:tc>
          <w:tcPr>
            <w:tcW w:type="dxa" w:w="2835"/>
            <w:tcBorders>
              <w:top w:val="single" w:sz="4" w:color="BFBFBF"/>
              <w:left w:val="single" w:sz="4" w:color="BFBFBF"/>
              <w:bottom w:val="single" w:sz="4" w:color="BFBFBF"/>
              <w:right w:val="single" w:sz="4" w:color="BFBFBF"/>
            </w:tcBorders>
            <w:vAlign w:val="center"/>
          </w:tcPr>
          <w:p>
            <w:r>
              <w:rPr>
                <w:rFonts w:ascii="Calibri" w:hAnsi="Calibri"/>
                <w:sz w:val="20"/>
              </w:rPr>
              <w:t>Expense ratio</w:t>
            </w:r>
          </w:p>
        </w:tc>
        <w:tc>
          <w:tcPr>
            <w:tcW w:type="dxa" w:w="4535"/>
            <w:tcBorders>
              <w:top w:val="single" w:sz="4" w:color="BFBFBF"/>
              <w:left w:val="single" w:sz="4" w:color="BFBFBF"/>
              <w:bottom w:val="single" w:sz="4" w:color="BFBFBF"/>
              <w:right w:val="single" w:sz="4" w:color="BFBFBF"/>
            </w:tcBorders>
            <w:vAlign w:val="center"/>
          </w:tcPr>
          <w:p>
            <w:r>
              <w:rPr>
                <w:rFonts w:ascii="Calibri" w:hAnsi="Calibri"/>
                <w:sz w:val="20"/>
              </w:rPr>
              <w:t>Frais acquisition + frais gestion / Primes acquises</w:t>
            </w:r>
          </w:p>
        </w:tc>
        <w:tc>
          <w:tcPr>
            <w:tcW w:type="dxa" w:w="1701"/>
            <w:tcBorders>
              <w:top w:val="single" w:sz="4" w:color="BFBFBF"/>
              <w:left w:val="single" w:sz="4" w:color="BFBFBF"/>
              <w:bottom w:val="single" w:sz="4" w:color="BFBFBF"/>
              <w:right w:val="single" w:sz="4" w:color="BFBFBF"/>
            </w:tcBorders>
            <w:vAlign w:val="center"/>
          </w:tcPr>
          <w:p>
            <w:r>
              <w:rPr>
                <w:rFonts w:ascii="Calibri" w:hAnsi="Calibri"/>
                <w:sz w:val="20"/>
              </w:rPr>
              <w:t>Standard</w:t>
            </w:r>
          </w:p>
        </w:tc>
      </w:tr>
      <w:tr>
        <w:tc>
          <w:tcPr>
            <w:tcW w:type="dxa" w:w="2835"/>
            <w:shd w:val="clear" w:color="auto" w:fill="F2F2F2"/>
            <w:tcBorders>
              <w:top w:val="single" w:sz="4" w:color="BFBFBF"/>
              <w:left w:val="single" w:sz="4" w:color="BFBFBF"/>
              <w:bottom w:val="single" w:sz="4" w:color="BFBFBF"/>
              <w:right w:val="single" w:sz="4" w:color="BFBFBF"/>
            </w:tcBorders>
            <w:vAlign w:val="center"/>
          </w:tcPr>
          <w:p>
            <w:r>
              <w:rPr>
                <w:rFonts w:ascii="Calibri" w:hAnsi="Calibri"/>
                <w:sz w:val="20"/>
              </w:rPr>
              <w:t>Ratio combiné</w:t>
            </w:r>
          </w:p>
        </w:tc>
        <w:tc>
          <w:tcPr>
            <w:tcW w:type="dxa" w:w="4535"/>
            <w:shd w:val="clear" w:color="auto" w:fill="F2F2F2"/>
            <w:tcBorders>
              <w:top w:val="single" w:sz="4" w:color="BFBFBF"/>
              <w:left w:val="single" w:sz="4" w:color="BFBFBF"/>
              <w:bottom w:val="single" w:sz="4" w:color="BFBFBF"/>
              <w:right w:val="single" w:sz="4" w:color="BFBFBF"/>
            </w:tcBorders>
            <w:vAlign w:val="center"/>
          </w:tcPr>
          <w:p>
            <w:r>
              <w:rPr>
                <w:rFonts w:ascii="Calibri" w:hAnsi="Calibri"/>
                <w:sz w:val="20"/>
              </w:rPr>
              <w:t>Loss ratio + Expense ratio</w:t>
            </w:r>
          </w:p>
        </w:tc>
        <w:tc>
          <w:tcPr>
            <w:tcW w:type="dxa" w:w="1701"/>
            <w:shd w:val="clear" w:color="auto" w:fill="F2F2F2"/>
            <w:tcBorders>
              <w:top w:val="single" w:sz="4" w:color="BFBFBF"/>
              <w:left w:val="single" w:sz="4" w:color="BFBFBF"/>
              <w:bottom w:val="single" w:sz="4" w:color="BFBFBF"/>
              <w:right w:val="single" w:sz="4" w:color="BFBFBF"/>
            </w:tcBorders>
            <w:vAlign w:val="center"/>
          </w:tcPr>
          <w:p>
            <w:r>
              <w:rPr>
                <w:rFonts w:ascii="Calibri" w:hAnsi="Calibri"/>
                <w:sz w:val="20"/>
              </w:rPr>
              <w:t>Standard</w:t>
            </w:r>
          </w:p>
        </w:tc>
      </w:tr>
      <w:tr>
        <w:tc>
          <w:tcPr>
            <w:tcW w:type="dxa" w:w="2835"/>
            <w:tcBorders>
              <w:top w:val="single" w:sz="4" w:color="BFBFBF"/>
              <w:left w:val="single" w:sz="4" w:color="BFBFBF"/>
              <w:bottom w:val="single" w:sz="4" w:color="BFBFBF"/>
              <w:right w:val="single" w:sz="4" w:color="BFBFBF"/>
            </w:tcBorders>
            <w:vAlign w:val="center"/>
          </w:tcPr>
          <w:p>
            <w:r>
              <w:rPr>
                <w:rFonts w:ascii="Calibri" w:hAnsi="Calibri"/>
                <w:sz w:val="20"/>
              </w:rPr>
              <w:t>Marge solvabilité Non-Vie</w:t>
            </w:r>
          </w:p>
        </w:tc>
        <w:tc>
          <w:tcPr>
            <w:tcW w:type="dxa" w:w="4535"/>
            <w:tcBorders>
              <w:top w:val="single" w:sz="4" w:color="BFBFBF"/>
              <w:left w:val="single" w:sz="4" w:color="BFBFBF"/>
              <w:bottom w:val="single" w:sz="4" w:color="BFBFBF"/>
              <w:right w:val="single" w:sz="4" w:color="BFBFBF"/>
            </w:tcBorders>
            <w:vAlign w:val="center"/>
          </w:tcPr>
          <w:p>
            <w:r>
              <w:rPr>
                <w:rFonts w:ascii="Calibri" w:hAnsi="Calibri"/>
                <w:sz w:val="20"/>
              </w:rPr>
              <w:t>Max(% primes, % charges sinistres)</w:t>
            </w:r>
          </w:p>
        </w:tc>
        <w:tc>
          <w:tcPr>
            <w:tcW w:type="dxa" w:w="1701"/>
            <w:tcBorders>
              <w:top w:val="single" w:sz="4" w:color="BFBFBF"/>
              <w:left w:val="single" w:sz="4" w:color="BFBFBF"/>
              <w:bottom w:val="single" w:sz="4" w:color="BFBFBF"/>
              <w:right w:val="single" w:sz="4" w:color="BFBFBF"/>
            </w:tcBorders>
            <w:vAlign w:val="center"/>
          </w:tcPr>
          <w:p>
            <w:r>
              <w:rPr>
                <w:rFonts w:ascii="Calibri" w:hAnsi="Calibri"/>
                <w:sz w:val="20"/>
              </w:rPr>
              <w:t>CIMA</w:t>
            </w:r>
          </w:p>
        </w:tc>
      </w:tr>
      <w:tr>
        <w:tc>
          <w:tcPr>
            <w:tcW w:type="dxa" w:w="2835"/>
            <w:shd w:val="clear" w:color="auto" w:fill="F2F2F2"/>
            <w:tcBorders>
              <w:top w:val="single" w:sz="4" w:color="BFBFBF"/>
              <w:left w:val="single" w:sz="4" w:color="BFBFBF"/>
              <w:bottom w:val="single" w:sz="4" w:color="BFBFBF"/>
              <w:right w:val="single" w:sz="4" w:color="BFBFBF"/>
            </w:tcBorders>
            <w:vAlign w:val="center"/>
          </w:tcPr>
          <w:p>
            <w:r>
              <w:rPr>
                <w:rFonts w:ascii="Calibri" w:hAnsi="Calibri"/>
                <w:sz w:val="20"/>
              </w:rPr>
              <w:t>Marge solvabilité Vie</w:t>
            </w:r>
          </w:p>
        </w:tc>
        <w:tc>
          <w:tcPr>
            <w:tcW w:type="dxa" w:w="4535"/>
            <w:shd w:val="clear" w:color="auto" w:fill="F2F2F2"/>
            <w:tcBorders>
              <w:top w:val="single" w:sz="4" w:color="BFBFBF"/>
              <w:left w:val="single" w:sz="4" w:color="BFBFBF"/>
              <w:bottom w:val="single" w:sz="4" w:color="BFBFBF"/>
              <w:right w:val="single" w:sz="4" w:color="BFBFBF"/>
            </w:tcBorders>
            <w:vAlign w:val="center"/>
          </w:tcPr>
          <w:p>
            <w:r>
              <w:rPr>
                <w:rFonts w:ascii="Calibri" w:hAnsi="Calibri"/>
                <w:sz w:val="20"/>
              </w:rPr>
              <w:t>% PM + % capitaux sous risque</w:t>
            </w:r>
          </w:p>
        </w:tc>
        <w:tc>
          <w:tcPr>
            <w:tcW w:type="dxa" w:w="1701"/>
            <w:shd w:val="clear" w:color="auto" w:fill="F2F2F2"/>
            <w:tcBorders>
              <w:top w:val="single" w:sz="4" w:color="BFBFBF"/>
              <w:left w:val="single" w:sz="4" w:color="BFBFBF"/>
              <w:bottom w:val="single" w:sz="4" w:color="BFBFBF"/>
              <w:right w:val="single" w:sz="4" w:color="BFBFBF"/>
            </w:tcBorders>
            <w:vAlign w:val="center"/>
          </w:tcPr>
          <w:p>
            <w:r>
              <w:rPr>
                <w:rFonts w:ascii="Calibri" w:hAnsi="Calibri"/>
                <w:sz w:val="20"/>
              </w:rPr>
              <w:t>CIMA</w:t>
            </w:r>
          </w:p>
        </w:tc>
      </w:tr>
      <w:tr>
        <w:tc>
          <w:tcPr>
            <w:tcW w:type="dxa" w:w="2835"/>
            <w:tcBorders>
              <w:top w:val="single" w:sz="4" w:color="BFBFBF"/>
              <w:left w:val="single" w:sz="4" w:color="BFBFBF"/>
              <w:bottom w:val="single" w:sz="4" w:color="BFBFBF"/>
              <w:right w:val="single" w:sz="4" w:color="BFBFBF"/>
            </w:tcBorders>
            <w:vAlign w:val="center"/>
          </w:tcPr>
          <w:p>
            <w:r>
              <w:rPr>
                <w:rFonts w:ascii="Calibri" w:hAnsi="Calibri"/>
                <w:sz w:val="20"/>
              </w:rPr>
              <w:t>Persistance Vie (12 mois)</w:t>
            </w:r>
          </w:p>
        </w:tc>
        <w:tc>
          <w:tcPr>
            <w:tcW w:type="dxa" w:w="4535"/>
            <w:tcBorders>
              <w:top w:val="single" w:sz="4" w:color="BFBFBF"/>
              <w:left w:val="single" w:sz="4" w:color="BFBFBF"/>
              <w:bottom w:val="single" w:sz="4" w:color="BFBFBF"/>
              <w:right w:val="single" w:sz="4" w:color="BFBFBF"/>
            </w:tcBorders>
            <w:vAlign w:val="center"/>
          </w:tcPr>
          <w:p>
            <w:r>
              <w:rPr>
                <w:rFonts w:ascii="Calibri" w:hAnsi="Calibri"/>
                <w:sz w:val="20"/>
              </w:rPr>
              <w:t>Polices actives à m+12 / Polices émises à m</w:t>
            </w:r>
          </w:p>
        </w:tc>
        <w:tc>
          <w:tcPr>
            <w:tcW w:type="dxa" w:w="1701"/>
            <w:tcBorders>
              <w:top w:val="single" w:sz="4" w:color="BFBFBF"/>
              <w:left w:val="single" w:sz="4" w:color="BFBFBF"/>
              <w:bottom w:val="single" w:sz="4" w:color="BFBFBF"/>
              <w:right w:val="single" w:sz="4" w:color="BFBFBF"/>
            </w:tcBorders>
            <w:vAlign w:val="center"/>
          </w:tcPr>
          <w:p>
            <w:r>
              <w:rPr>
                <w:rFonts w:ascii="Calibri" w:hAnsi="Calibri"/>
                <w:sz w:val="20"/>
              </w:rPr>
              <w:t>Standard</w:t>
            </w:r>
          </w:p>
        </w:tc>
      </w:tr>
      <w:tr>
        <w:tc>
          <w:tcPr>
            <w:tcW w:type="dxa" w:w="2835"/>
            <w:shd w:val="clear" w:color="auto" w:fill="F2F2F2"/>
            <w:tcBorders>
              <w:top w:val="single" w:sz="4" w:color="BFBFBF"/>
              <w:left w:val="single" w:sz="4" w:color="BFBFBF"/>
              <w:bottom w:val="single" w:sz="4" w:color="BFBFBF"/>
              <w:right w:val="single" w:sz="4" w:color="BFBFBF"/>
            </w:tcBorders>
            <w:vAlign w:val="center"/>
          </w:tcPr>
          <w:p>
            <w:r>
              <w:rPr>
                <w:rFonts w:ascii="Calibri" w:hAnsi="Calibri"/>
                <w:sz w:val="20"/>
              </w:rPr>
              <w:t>Taux de surrender (rachat)</w:t>
            </w:r>
          </w:p>
        </w:tc>
        <w:tc>
          <w:tcPr>
            <w:tcW w:type="dxa" w:w="4535"/>
            <w:shd w:val="clear" w:color="auto" w:fill="F2F2F2"/>
            <w:tcBorders>
              <w:top w:val="single" w:sz="4" w:color="BFBFBF"/>
              <w:left w:val="single" w:sz="4" w:color="BFBFBF"/>
              <w:bottom w:val="single" w:sz="4" w:color="BFBFBF"/>
              <w:right w:val="single" w:sz="4" w:color="BFBFBF"/>
            </w:tcBorders>
            <w:vAlign w:val="center"/>
          </w:tcPr>
          <w:p>
            <w:r>
              <w:rPr>
                <w:rFonts w:ascii="Calibri" w:hAnsi="Calibri"/>
                <w:sz w:val="20"/>
              </w:rPr>
              <w:t>Rachats / PM moyennes</w:t>
            </w:r>
          </w:p>
        </w:tc>
        <w:tc>
          <w:tcPr>
            <w:tcW w:type="dxa" w:w="1701"/>
            <w:shd w:val="clear" w:color="auto" w:fill="F2F2F2"/>
            <w:tcBorders>
              <w:top w:val="single" w:sz="4" w:color="BFBFBF"/>
              <w:left w:val="single" w:sz="4" w:color="BFBFBF"/>
              <w:bottom w:val="single" w:sz="4" w:color="BFBFBF"/>
              <w:right w:val="single" w:sz="4" w:color="BFBFBF"/>
            </w:tcBorders>
            <w:vAlign w:val="center"/>
          </w:tcPr>
          <w:p>
            <w:r>
              <w:rPr>
                <w:rFonts w:ascii="Calibri" w:hAnsi="Calibri"/>
                <w:sz w:val="20"/>
              </w:rPr>
              <w:t>Standard</w:t>
            </w:r>
          </w:p>
        </w:tc>
      </w:tr>
    </w:tbl>
    <w:p>
      <w:pPr>
        <w:spacing w:after="120"/>
      </w:pPr>
    </w:p>
    <w:p>
      <w:pPr>
        <w:pStyle w:val="Heading3"/>
        <w:spacing w:before="180" w:after="120"/>
      </w:pPr>
      <w:r>
        <w:rPr>
          <w:rFonts w:ascii="Calibri" w:hAnsi="Calibri"/>
          <w:b/>
          <w:color w:val="0A2540"/>
          <w:sz w:val="26"/>
        </w:rPr>
        <w:t>KPIs et indicateurs sectoriels</w:t>
      </w:r>
    </w:p>
    <w:p>
      <w:pPr>
        <w:pStyle w:val="ListBullet"/>
        <w:spacing w:after="60"/>
        <w:ind w:left="340"/>
      </w:pPr>
      <w:r>
        <w:rPr>
          <w:rFonts w:ascii="Calibri" w:hAnsi="Calibri"/>
          <w:sz w:val="22"/>
        </w:rPr>
        <w:t>Volume : primes émises, primes acquises, croissance, parts de marché par branche</w:t>
      </w:r>
    </w:p>
    <w:p>
      <w:pPr>
        <w:pStyle w:val="ListBullet"/>
        <w:spacing w:after="60"/>
        <w:ind w:left="340"/>
      </w:pPr>
      <w:r>
        <w:rPr>
          <w:rFonts w:ascii="Calibri" w:hAnsi="Calibri"/>
          <w:sz w:val="22"/>
        </w:rPr>
        <w:t>Rentabilité technique : loss ratio, expense ratio, ratio combiné (Non-Vie), marge technique (Vie)</w:t>
      </w:r>
    </w:p>
    <w:p>
      <w:pPr>
        <w:pStyle w:val="ListBullet"/>
        <w:spacing w:after="60"/>
        <w:ind w:left="340"/>
      </w:pPr>
      <w:r>
        <w:rPr>
          <w:rFonts w:ascii="Calibri" w:hAnsi="Calibri"/>
          <w:sz w:val="22"/>
        </w:rPr>
        <w:t>Rentabilité globale : ROE, résultat net / primes acquises, RoA</w:t>
      </w:r>
    </w:p>
    <w:p>
      <w:pPr>
        <w:pStyle w:val="ListBullet"/>
        <w:spacing w:after="60"/>
        <w:ind w:left="340"/>
      </w:pPr>
      <w:r>
        <w:rPr>
          <w:rFonts w:ascii="Calibri" w:hAnsi="Calibri"/>
          <w:sz w:val="22"/>
        </w:rPr>
        <w:t>Solvabilité : marge de solvabilité (% du minimum réglementaire CIMA), couverture des engagements réglementés</w:t>
      </w:r>
    </w:p>
    <w:p>
      <w:pPr>
        <w:pStyle w:val="ListBullet"/>
        <w:spacing w:after="60"/>
        <w:ind w:left="340"/>
      </w:pPr>
      <w:r>
        <w:rPr>
          <w:rFonts w:ascii="Calibri" w:hAnsi="Calibri"/>
          <w:sz w:val="22"/>
        </w:rPr>
        <w:t>Persistance Vie : taux de persistance à 12, 24, 36 mois, taux de chute, taux de rachat</w:t>
      </w:r>
    </w:p>
    <w:p>
      <w:pPr>
        <w:pStyle w:val="ListBullet"/>
        <w:spacing w:after="60"/>
        <w:ind w:left="340"/>
      </w:pPr>
      <w:r>
        <w:rPr>
          <w:rFonts w:ascii="Calibri" w:hAnsi="Calibri"/>
          <w:sz w:val="22"/>
        </w:rPr>
        <w:t>Placements : rendement des placements, allocation, RTE / engagements</w:t>
      </w:r>
    </w:p>
    <w:p>
      <w:pPr>
        <w:pStyle w:val="ListBullet"/>
        <w:spacing w:after="60"/>
        <w:ind w:left="340"/>
      </w:pPr>
      <w:r>
        <w:rPr>
          <w:rFonts w:ascii="Calibri" w:hAnsi="Calibri"/>
          <w:sz w:val="22"/>
        </w:rPr>
        <w:t>Sinistres : fréquence, coût moyen, délai de règlement, taux d'IBNR</w:t>
      </w:r>
    </w:p>
    <w:p>
      <w:pPr>
        <w:pStyle w:val="Heading3"/>
        <w:spacing w:before="180" w:after="120"/>
      </w:pPr>
      <w:r>
        <w:rPr>
          <w:rFonts w:ascii="Calibri" w:hAnsi="Calibri"/>
          <w:b/>
          <w:color w:val="0A2540"/>
          <w:sz w:val="26"/>
        </w:rPr>
        <w:t>Structure du template Assurance CIMA</w:t>
      </w:r>
    </w:p>
    <w:p>
      <w:pPr>
        <w:spacing w:before="0" w:after="120"/>
        <w:jc w:val="both"/>
      </w:pPr>
      <w:r>
        <w:rPr>
          <w:rFonts w:ascii="Calibri" w:hAnsi="Calibri"/>
          <w:b w:val="0"/>
          <w:i w:val="0"/>
          <w:color w:val="000000"/>
          <w:sz w:val="22"/>
        </w:rPr>
        <w:t>Le template Assurance comporte 14 feuilles : Notice, Hypothèses, Portefeuille polices (Vie + Non-Vie), Primes &amp; cotisations, Sinistres (fréquence + coûts + IBNR), Provisions techniques (PM, PSAP, PPNA, PREC), Placements &amp; rendements, P&amp;L technique, P&amp;L non-technique global, Bilan assurance, Marge de solvabilité CIMA, KPIs Dashboard, Stress prudentiel, Scénarios.</w:t>
      </w:r>
    </w:p>
    <w:p>
      <w:pPr>
        <w:pStyle w:val="Heading2"/>
        <w:spacing w:before="240" w:after="120"/>
      </w:pPr>
      <w:r>
        <w:rPr>
          <w:rFonts w:ascii="Calibri" w:hAnsi="Calibri"/>
          <w:b/>
          <w:color w:val="0A2540"/>
          <w:sz w:val="30"/>
        </w:rPr>
        <w:t>5.4 Achats-Vente, Commerce et Distribution</w:t>
      </w:r>
    </w:p>
    <w:p>
      <w:pPr>
        <w:pStyle w:val="Heading3"/>
        <w:spacing w:before="180" w:after="120"/>
      </w:pPr>
      <w:r>
        <w:rPr>
          <w:rFonts w:ascii="Calibri" w:hAnsi="Calibri"/>
          <w:b/>
          <w:color w:val="0A2540"/>
          <w:sz w:val="26"/>
        </w:rPr>
        <w:t>Description du secteur</w:t>
      </w:r>
    </w:p>
    <w:p>
      <w:pPr>
        <w:spacing w:before="0" w:after="120"/>
        <w:jc w:val="both"/>
      </w:pPr>
      <w:r>
        <w:rPr>
          <w:rFonts w:ascii="Calibri" w:hAnsi="Calibri"/>
          <w:b w:val="0"/>
          <w:i w:val="0"/>
          <w:color w:val="000000"/>
          <w:sz w:val="22"/>
        </w:rPr>
        <w:t>Le commerce et la distribution couvrent l'achat de biens pour revente, en B2B (grossistes, distributeurs spécialisés) ou en B2C (détaillants, e-commerce). En zone UEMOA/CEMAC, ce secteur est dominé par l'informel (60-70%), mais le secteur formel se structure rapidement avec l'émergence de chaînes (supermarchés, distribution spécialisée) et de l'e-commerce. Les marges sont sous pression continue ; la performance dépend de la rotation des stocks et de la maîtrise du BFR.</w:t>
      </w:r>
    </w:p>
    <w:p>
      <w:pPr>
        <w:pStyle w:val="Heading3"/>
        <w:spacing w:before="180" w:after="120"/>
      </w:pPr>
      <w:r>
        <w:rPr>
          <w:rFonts w:ascii="Calibri" w:hAnsi="Calibri"/>
          <w:b/>
          <w:color w:val="0A2540"/>
          <w:sz w:val="26"/>
        </w:rPr>
        <w:t>Sous-secteurs et variantes</w:t>
      </w:r>
    </w:p>
    <w:tbl>
      <w:tblPr>
        <w:tblW w:type="auto" w:w="0"/>
        <w:jc w:val="center"/>
        <w:tblLayout w:type="fixed"/>
        <w:tblLook w:firstColumn="1" w:firstRow="1" w:lastColumn="0" w:lastRow="0" w:noHBand="0" w:noVBand="1" w:val="04A0"/>
      </w:tblPr>
      <w:tblGrid>
        <w:gridCol w:w="2351"/>
        <w:gridCol w:w="2351"/>
        <w:gridCol w:w="2351"/>
        <w:gridCol w:w="2351"/>
      </w:tblGrid>
      <w:tr>
        <w:tc>
          <w:tcPr>
            <w:tcW w:type="dxa" w:w="2835"/>
            <w:shd w:val="clear" w:color="auto" w:fill="0A2540"/>
            <w:tcBorders>
              <w:top w:val="single" w:sz="4" w:color="BFBFBF"/>
              <w:left w:val="single" w:sz="4" w:color="BFBFBF"/>
              <w:bottom w:val="single" w:sz="4" w:color="BFBFBF"/>
              <w:right w:val="single" w:sz="4" w:color="BFBFBF"/>
            </w:tcBorders>
            <w:vAlign w:val="center"/>
          </w:tcPr>
          <w:p>
            <w:pPr>
              <w:jc w:val="center"/>
            </w:pPr>
            <w:r>
              <w:rPr>
                <w:rFonts w:ascii="Calibri" w:hAnsi="Calibri"/>
                <w:b/>
                <w:color w:val="FFFFFF"/>
                <w:sz w:val="20"/>
              </w:rPr>
              <w:t>Sous-secteur</w:t>
            </w:r>
          </w:p>
        </w:tc>
        <w:tc>
          <w:tcPr>
            <w:tcW w:type="dxa" w:w="1984"/>
            <w:shd w:val="clear" w:color="auto" w:fill="0A2540"/>
            <w:tcBorders>
              <w:top w:val="single" w:sz="4" w:color="BFBFBF"/>
              <w:left w:val="single" w:sz="4" w:color="BFBFBF"/>
              <w:bottom w:val="single" w:sz="4" w:color="BFBFBF"/>
              <w:right w:val="single" w:sz="4" w:color="BFBFBF"/>
            </w:tcBorders>
            <w:vAlign w:val="center"/>
          </w:tcPr>
          <w:p>
            <w:pPr>
              <w:jc w:val="center"/>
            </w:pPr>
            <w:r>
              <w:rPr>
                <w:rFonts w:ascii="Calibri" w:hAnsi="Calibri"/>
                <w:b/>
                <w:color w:val="FFFFFF"/>
                <w:sz w:val="20"/>
              </w:rPr>
              <w:t>Marge brute typique</w:t>
            </w:r>
          </w:p>
        </w:tc>
        <w:tc>
          <w:tcPr>
            <w:tcW w:type="dxa" w:w="1984"/>
            <w:shd w:val="clear" w:color="auto" w:fill="0A2540"/>
            <w:tcBorders>
              <w:top w:val="single" w:sz="4" w:color="BFBFBF"/>
              <w:left w:val="single" w:sz="4" w:color="BFBFBF"/>
              <w:bottom w:val="single" w:sz="4" w:color="BFBFBF"/>
              <w:right w:val="single" w:sz="4" w:color="BFBFBF"/>
            </w:tcBorders>
            <w:vAlign w:val="center"/>
          </w:tcPr>
          <w:p>
            <w:pPr>
              <w:jc w:val="center"/>
            </w:pPr>
            <w:r>
              <w:rPr>
                <w:rFonts w:ascii="Calibri" w:hAnsi="Calibri"/>
                <w:b/>
                <w:color w:val="FFFFFF"/>
                <w:sz w:val="20"/>
              </w:rPr>
              <w:t>Rotation stocks (j)</w:t>
            </w:r>
          </w:p>
        </w:tc>
        <w:tc>
          <w:tcPr>
            <w:tcW w:type="dxa" w:w="2268"/>
            <w:shd w:val="clear" w:color="auto" w:fill="0A2540"/>
            <w:tcBorders>
              <w:top w:val="single" w:sz="4" w:color="BFBFBF"/>
              <w:left w:val="single" w:sz="4" w:color="BFBFBF"/>
              <w:bottom w:val="single" w:sz="4" w:color="BFBFBF"/>
              <w:right w:val="single" w:sz="4" w:color="BFBFBF"/>
            </w:tcBorders>
            <w:vAlign w:val="center"/>
          </w:tcPr>
          <w:p>
            <w:pPr>
              <w:jc w:val="center"/>
            </w:pPr>
            <w:r>
              <w:rPr>
                <w:rFonts w:ascii="Calibri" w:hAnsi="Calibri"/>
                <w:b/>
                <w:color w:val="FFFFFF"/>
                <w:sz w:val="20"/>
              </w:rPr>
              <w:t>BFR / CA (j)</w:t>
            </w:r>
          </w:p>
        </w:tc>
      </w:tr>
      <w:tr>
        <w:tc>
          <w:tcPr>
            <w:tcW w:type="dxa" w:w="2835"/>
            <w:tcBorders>
              <w:top w:val="single" w:sz="4" w:color="BFBFBF"/>
              <w:left w:val="single" w:sz="4" w:color="BFBFBF"/>
              <w:bottom w:val="single" w:sz="4" w:color="BFBFBF"/>
              <w:right w:val="single" w:sz="4" w:color="BFBFBF"/>
            </w:tcBorders>
            <w:vAlign w:val="center"/>
          </w:tcPr>
          <w:p>
            <w:r>
              <w:rPr>
                <w:rFonts w:ascii="Calibri" w:hAnsi="Calibri"/>
                <w:sz w:val="20"/>
              </w:rPr>
              <w:t>Grossiste FMCG</w:t>
            </w:r>
          </w:p>
        </w:tc>
        <w:tc>
          <w:tcPr>
            <w:tcW w:type="dxa" w:w="1984"/>
            <w:tcBorders>
              <w:top w:val="single" w:sz="4" w:color="BFBFBF"/>
              <w:left w:val="single" w:sz="4" w:color="BFBFBF"/>
              <w:bottom w:val="single" w:sz="4" w:color="BFBFBF"/>
              <w:right w:val="single" w:sz="4" w:color="BFBFBF"/>
            </w:tcBorders>
            <w:vAlign w:val="center"/>
          </w:tcPr>
          <w:p>
            <w:r>
              <w:rPr>
                <w:rFonts w:ascii="Calibri" w:hAnsi="Calibri"/>
                <w:sz w:val="20"/>
              </w:rPr>
              <w:t>8-15%</w:t>
            </w:r>
          </w:p>
        </w:tc>
        <w:tc>
          <w:tcPr>
            <w:tcW w:type="dxa" w:w="1984"/>
            <w:tcBorders>
              <w:top w:val="single" w:sz="4" w:color="BFBFBF"/>
              <w:left w:val="single" w:sz="4" w:color="BFBFBF"/>
              <w:bottom w:val="single" w:sz="4" w:color="BFBFBF"/>
              <w:right w:val="single" w:sz="4" w:color="BFBFBF"/>
            </w:tcBorders>
            <w:vAlign w:val="center"/>
          </w:tcPr>
          <w:p>
            <w:r>
              <w:rPr>
                <w:rFonts w:ascii="Calibri" w:hAnsi="Calibri"/>
                <w:sz w:val="20"/>
              </w:rPr>
              <w:t>30-60</w:t>
            </w:r>
          </w:p>
        </w:tc>
        <w:tc>
          <w:tcPr>
            <w:tcW w:type="dxa" w:w="2268"/>
            <w:tcBorders>
              <w:top w:val="single" w:sz="4" w:color="BFBFBF"/>
              <w:left w:val="single" w:sz="4" w:color="BFBFBF"/>
              <w:bottom w:val="single" w:sz="4" w:color="BFBFBF"/>
              <w:right w:val="single" w:sz="4" w:color="BFBFBF"/>
            </w:tcBorders>
            <w:vAlign w:val="center"/>
          </w:tcPr>
          <w:p>
            <w:r>
              <w:rPr>
                <w:rFonts w:ascii="Calibri" w:hAnsi="Calibri"/>
                <w:sz w:val="20"/>
              </w:rPr>
              <w:t>40-70</w:t>
            </w:r>
          </w:p>
        </w:tc>
      </w:tr>
      <w:tr>
        <w:tc>
          <w:tcPr>
            <w:tcW w:type="dxa" w:w="2835"/>
            <w:shd w:val="clear" w:color="auto" w:fill="F2F2F2"/>
            <w:tcBorders>
              <w:top w:val="single" w:sz="4" w:color="BFBFBF"/>
              <w:left w:val="single" w:sz="4" w:color="BFBFBF"/>
              <w:bottom w:val="single" w:sz="4" w:color="BFBFBF"/>
              <w:right w:val="single" w:sz="4" w:color="BFBFBF"/>
            </w:tcBorders>
            <w:vAlign w:val="center"/>
          </w:tcPr>
          <w:p>
            <w:r>
              <w:rPr>
                <w:rFonts w:ascii="Calibri" w:hAnsi="Calibri"/>
                <w:sz w:val="20"/>
              </w:rPr>
              <w:t>Détaillant alimentaire</w:t>
            </w:r>
          </w:p>
        </w:tc>
        <w:tc>
          <w:tcPr>
            <w:tcW w:type="dxa" w:w="1984"/>
            <w:shd w:val="clear" w:color="auto" w:fill="F2F2F2"/>
            <w:tcBorders>
              <w:top w:val="single" w:sz="4" w:color="BFBFBF"/>
              <w:left w:val="single" w:sz="4" w:color="BFBFBF"/>
              <w:bottom w:val="single" w:sz="4" w:color="BFBFBF"/>
              <w:right w:val="single" w:sz="4" w:color="BFBFBF"/>
            </w:tcBorders>
            <w:vAlign w:val="center"/>
          </w:tcPr>
          <w:p>
            <w:r>
              <w:rPr>
                <w:rFonts w:ascii="Calibri" w:hAnsi="Calibri"/>
                <w:sz w:val="20"/>
              </w:rPr>
              <w:t>20-28%</w:t>
            </w:r>
          </w:p>
        </w:tc>
        <w:tc>
          <w:tcPr>
            <w:tcW w:type="dxa" w:w="1984"/>
            <w:shd w:val="clear" w:color="auto" w:fill="F2F2F2"/>
            <w:tcBorders>
              <w:top w:val="single" w:sz="4" w:color="BFBFBF"/>
              <w:left w:val="single" w:sz="4" w:color="BFBFBF"/>
              <w:bottom w:val="single" w:sz="4" w:color="BFBFBF"/>
              <w:right w:val="single" w:sz="4" w:color="BFBFBF"/>
            </w:tcBorders>
            <w:vAlign w:val="center"/>
          </w:tcPr>
          <w:p>
            <w:r>
              <w:rPr>
                <w:rFonts w:ascii="Calibri" w:hAnsi="Calibri"/>
                <w:sz w:val="20"/>
              </w:rPr>
              <w:t>20-40</w:t>
            </w:r>
          </w:p>
        </w:tc>
        <w:tc>
          <w:tcPr>
            <w:tcW w:type="dxa" w:w="2268"/>
            <w:shd w:val="clear" w:color="auto" w:fill="F2F2F2"/>
            <w:tcBorders>
              <w:top w:val="single" w:sz="4" w:color="BFBFBF"/>
              <w:left w:val="single" w:sz="4" w:color="BFBFBF"/>
              <w:bottom w:val="single" w:sz="4" w:color="BFBFBF"/>
              <w:right w:val="single" w:sz="4" w:color="BFBFBF"/>
            </w:tcBorders>
            <w:vAlign w:val="center"/>
          </w:tcPr>
          <w:p>
            <w:r>
              <w:rPr>
                <w:rFonts w:ascii="Calibri" w:hAnsi="Calibri"/>
                <w:sz w:val="20"/>
              </w:rPr>
              <w:t>5-15</w:t>
            </w:r>
          </w:p>
        </w:tc>
      </w:tr>
      <w:tr>
        <w:tc>
          <w:tcPr>
            <w:tcW w:type="dxa" w:w="2835"/>
            <w:tcBorders>
              <w:top w:val="single" w:sz="4" w:color="BFBFBF"/>
              <w:left w:val="single" w:sz="4" w:color="BFBFBF"/>
              <w:bottom w:val="single" w:sz="4" w:color="BFBFBF"/>
              <w:right w:val="single" w:sz="4" w:color="BFBFBF"/>
            </w:tcBorders>
            <w:vAlign w:val="center"/>
          </w:tcPr>
          <w:p>
            <w:r>
              <w:rPr>
                <w:rFonts w:ascii="Calibri" w:hAnsi="Calibri"/>
                <w:sz w:val="20"/>
              </w:rPr>
              <w:t>Distribution spécialisée</w:t>
            </w:r>
          </w:p>
        </w:tc>
        <w:tc>
          <w:tcPr>
            <w:tcW w:type="dxa" w:w="1984"/>
            <w:tcBorders>
              <w:top w:val="single" w:sz="4" w:color="BFBFBF"/>
              <w:left w:val="single" w:sz="4" w:color="BFBFBF"/>
              <w:bottom w:val="single" w:sz="4" w:color="BFBFBF"/>
              <w:right w:val="single" w:sz="4" w:color="BFBFBF"/>
            </w:tcBorders>
            <w:vAlign w:val="center"/>
          </w:tcPr>
          <w:p>
            <w:r>
              <w:rPr>
                <w:rFonts w:ascii="Calibri" w:hAnsi="Calibri"/>
                <w:sz w:val="20"/>
              </w:rPr>
              <w:t>30-45%</w:t>
            </w:r>
          </w:p>
        </w:tc>
        <w:tc>
          <w:tcPr>
            <w:tcW w:type="dxa" w:w="1984"/>
            <w:tcBorders>
              <w:top w:val="single" w:sz="4" w:color="BFBFBF"/>
              <w:left w:val="single" w:sz="4" w:color="BFBFBF"/>
              <w:bottom w:val="single" w:sz="4" w:color="BFBFBF"/>
              <w:right w:val="single" w:sz="4" w:color="BFBFBF"/>
            </w:tcBorders>
            <w:vAlign w:val="center"/>
          </w:tcPr>
          <w:p>
            <w:r>
              <w:rPr>
                <w:rFonts w:ascii="Calibri" w:hAnsi="Calibri"/>
                <w:sz w:val="20"/>
              </w:rPr>
              <w:t>60-120</w:t>
            </w:r>
          </w:p>
        </w:tc>
        <w:tc>
          <w:tcPr>
            <w:tcW w:type="dxa" w:w="2268"/>
            <w:tcBorders>
              <w:top w:val="single" w:sz="4" w:color="BFBFBF"/>
              <w:left w:val="single" w:sz="4" w:color="BFBFBF"/>
              <w:bottom w:val="single" w:sz="4" w:color="BFBFBF"/>
              <w:right w:val="single" w:sz="4" w:color="BFBFBF"/>
            </w:tcBorders>
            <w:vAlign w:val="center"/>
          </w:tcPr>
          <w:p>
            <w:r>
              <w:rPr>
                <w:rFonts w:ascii="Calibri" w:hAnsi="Calibri"/>
                <w:sz w:val="20"/>
              </w:rPr>
              <w:t>30-60</w:t>
            </w:r>
          </w:p>
        </w:tc>
      </w:tr>
      <w:tr>
        <w:tc>
          <w:tcPr>
            <w:tcW w:type="dxa" w:w="2835"/>
            <w:shd w:val="clear" w:color="auto" w:fill="F2F2F2"/>
            <w:tcBorders>
              <w:top w:val="single" w:sz="4" w:color="BFBFBF"/>
              <w:left w:val="single" w:sz="4" w:color="BFBFBF"/>
              <w:bottom w:val="single" w:sz="4" w:color="BFBFBF"/>
              <w:right w:val="single" w:sz="4" w:color="BFBFBF"/>
            </w:tcBorders>
            <w:vAlign w:val="center"/>
          </w:tcPr>
          <w:p>
            <w:r>
              <w:rPr>
                <w:rFonts w:ascii="Calibri" w:hAnsi="Calibri"/>
                <w:sz w:val="20"/>
              </w:rPr>
              <w:t>E-commerce pure player</w:t>
            </w:r>
          </w:p>
        </w:tc>
        <w:tc>
          <w:tcPr>
            <w:tcW w:type="dxa" w:w="1984"/>
            <w:shd w:val="clear" w:color="auto" w:fill="F2F2F2"/>
            <w:tcBorders>
              <w:top w:val="single" w:sz="4" w:color="BFBFBF"/>
              <w:left w:val="single" w:sz="4" w:color="BFBFBF"/>
              <w:bottom w:val="single" w:sz="4" w:color="BFBFBF"/>
              <w:right w:val="single" w:sz="4" w:color="BFBFBF"/>
            </w:tcBorders>
            <w:vAlign w:val="center"/>
          </w:tcPr>
          <w:p>
            <w:r>
              <w:rPr>
                <w:rFonts w:ascii="Calibri" w:hAnsi="Calibri"/>
                <w:sz w:val="20"/>
              </w:rPr>
              <w:t>15-30%</w:t>
            </w:r>
          </w:p>
        </w:tc>
        <w:tc>
          <w:tcPr>
            <w:tcW w:type="dxa" w:w="1984"/>
            <w:shd w:val="clear" w:color="auto" w:fill="F2F2F2"/>
            <w:tcBorders>
              <w:top w:val="single" w:sz="4" w:color="BFBFBF"/>
              <w:left w:val="single" w:sz="4" w:color="BFBFBF"/>
              <w:bottom w:val="single" w:sz="4" w:color="BFBFBF"/>
              <w:right w:val="single" w:sz="4" w:color="BFBFBF"/>
            </w:tcBorders>
            <w:vAlign w:val="center"/>
          </w:tcPr>
          <w:p>
            <w:r>
              <w:rPr>
                <w:rFonts w:ascii="Calibri" w:hAnsi="Calibri"/>
                <w:sz w:val="20"/>
              </w:rPr>
              <w:t>30-90</w:t>
            </w:r>
          </w:p>
        </w:tc>
        <w:tc>
          <w:tcPr>
            <w:tcW w:type="dxa" w:w="2268"/>
            <w:shd w:val="clear" w:color="auto" w:fill="F2F2F2"/>
            <w:tcBorders>
              <w:top w:val="single" w:sz="4" w:color="BFBFBF"/>
              <w:left w:val="single" w:sz="4" w:color="BFBFBF"/>
              <w:bottom w:val="single" w:sz="4" w:color="BFBFBF"/>
              <w:right w:val="single" w:sz="4" w:color="BFBFBF"/>
            </w:tcBorders>
            <w:vAlign w:val="center"/>
          </w:tcPr>
          <w:p>
            <w:r>
              <w:rPr>
                <w:rFonts w:ascii="Calibri" w:hAnsi="Calibri"/>
                <w:sz w:val="20"/>
              </w:rPr>
              <w:t>Variable selon BM</w:t>
            </w:r>
          </w:p>
        </w:tc>
      </w:tr>
      <w:tr>
        <w:tc>
          <w:tcPr>
            <w:tcW w:type="dxa" w:w="2835"/>
            <w:tcBorders>
              <w:top w:val="single" w:sz="4" w:color="BFBFBF"/>
              <w:left w:val="single" w:sz="4" w:color="BFBFBF"/>
              <w:bottom w:val="single" w:sz="4" w:color="BFBFBF"/>
              <w:right w:val="single" w:sz="4" w:color="BFBFBF"/>
            </w:tcBorders>
            <w:vAlign w:val="center"/>
          </w:tcPr>
          <w:p>
            <w:r>
              <w:rPr>
                <w:rFonts w:ascii="Calibri" w:hAnsi="Calibri"/>
                <w:sz w:val="20"/>
              </w:rPr>
              <w:t>Quincaillerie &amp; BTP retail</w:t>
            </w:r>
          </w:p>
        </w:tc>
        <w:tc>
          <w:tcPr>
            <w:tcW w:type="dxa" w:w="1984"/>
            <w:tcBorders>
              <w:top w:val="single" w:sz="4" w:color="BFBFBF"/>
              <w:left w:val="single" w:sz="4" w:color="BFBFBF"/>
              <w:bottom w:val="single" w:sz="4" w:color="BFBFBF"/>
              <w:right w:val="single" w:sz="4" w:color="BFBFBF"/>
            </w:tcBorders>
            <w:vAlign w:val="center"/>
          </w:tcPr>
          <w:p>
            <w:r>
              <w:rPr>
                <w:rFonts w:ascii="Calibri" w:hAnsi="Calibri"/>
                <w:sz w:val="20"/>
              </w:rPr>
              <w:t>15-25%</w:t>
            </w:r>
          </w:p>
        </w:tc>
        <w:tc>
          <w:tcPr>
            <w:tcW w:type="dxa" w:w="1984"/>
            <w:tcBorders>
              <w:top w:val="single" w:sz="4" w:color="BFBFBF"/>
              <w:left w:val="single" w:sz="4" w:color="BFBFBF"/>
              <w:bottom w:val="single" w:sz="4" w:color="BFBFBF"/>
              <w:right w:val="single" w:sz="4" w:color="BFBFBF"/>
            </w:tcBorders>
            <w:vAlign w:val="center"/>
          </w:tcPr>
          <w:p>
            <w:r>
              <w:rPr>
                <w:rFonts w:ascii="Calibri" w:hAnsi="Calibri"/>
                <w:sz w:val="20"/>
              </w:rPr>
              <w:t>90-180</w:t>
            </w:r>
          </w:p>
        </w:tc>
        <w:tc>
          <w:tcPr>
            <w:tcW w:type="dxa" w:w="2268"/>
            <w:tcBorders>
              <w:top w:val="single" w:sz="4" w:color="BFBFBF"/>
              <w:left w:val="single" w:sz="4" w:color="BFBFBF"/>
              <w:bottom w:val="single" w:sz="4" w:color="BFBFBF"/>
              <w:right w:val="single" w:sz="4" w:color="BFBFBF"/>
            </w:tcBorders>
            <w:vAlign w:val="center"/>
          </w:tcPr>
          <w:p>
            <w:r>
              <w:rPr>
                <w:rFonts w:ascii="Calibri" w:hAnsi="Calibri"/>
                <w:sz w:val="20"/>
              </w:rPr>
              <w:t>60-120</w:t>
            </w:r>
          </w:p>
        </w:tc>
      </w:tr>
      <w:tr>
        <w:tc>
          <w:tcPr>
            <w:tcW w:type="dxa" w:w="2835"/>
            <w:shd w:val="clear" w:color="auto" w:fill="F2F2F2"/>
            <w:tcBorders>
              <w:top w:val="single" w:sz="4" w:color="BFBFBF"/>
              <w:left w:val="single" w:sz="4" w:color="BFBFBF"/>
              <w:bottom w:val="single" w:sz="4" w:color="BFBFBF"/>
              <w:right w:val="single" w:sz="4" w:color="BFBFBF"/>
            </w:tcBorders>
            <w:vAlign w:val="center"/>
          </w:tcPr>
          <w:p>
            <w:r>
              <w:rPr>
                <w:rFonts w:ascii="Calibri" w:hAnsi="Calibri"/>
                <w:sz w:val="20"/>
              </w:rPr>
              <w:t>Pharmacie</w:t>
            </w:r>
          </w:p>
        </w:tc>
        <w:tc>
          <w:tcPr>
            <w:tcW w:type="dxa" w:w="1984"/>
            <w:shd w:val="clear" w:color="auto" w:fill="F2F2F2"/>
            <w:tcBorders>
              <w:top w:val="single" w:sz="4" w:color="BFBFBF"/>
              <w:left w:val="single" w:sz="4" w:color="BFBFBF"/>
              <w:bottom w:val="single" w:sz="4" w:color="BFBFBF"/>
              <w:right w:val="single" w:sz="4" w:color="BFBFBF"/>
            </w:tcBorders>
            <w:vAlign w:val="center"/>
          </w:tcPr>
          <w:p>
            <w:r>
              <w:rPr>
                <w:rFonts w:ascii="Calibri" w:hAnsi="Calibri"/>
                <w:sz w:val="20"/>
              </w:rPr>
              <w:t>20-30%</w:t>
            </w:r>
          </w:p>
        </w:tc>
        <w:tc>
          <w:tcPr>
            <w:tcW w:type="dxa" w:w="1984"/>
            <w:shd w:val="clear" w:color="auto" w:fill="F2F2F2"/>
            <w:tcBorders>
              <w:top w:val="single" w:sz="4" w:color="BFBFBF"/>
              <w:left w:val="single" w:sz="4" w:color="BFBFBF"/>
              <w:bottom w:val="single" w:sz="4" w:color="BFBFBF"/>
              <w:right w:val="single" w:sz="4" w:color="BFBFBF"/>
            </w:tcBorders>
            <w:vAlign w:val="center"/>
          </w:tcPr>
          <w:p>
            <w:r>
              <w:rPr>
                <w:rFonts w:ascii="Calibri" w:hAnsi="Calibri"/>
                <w:sz w:val="20"/>
              </w:rPr>
              <w:t>30-60</w:t>
            </w:r>
          </w:p>
        </w:tc>
        <w:tc>
          <w:tcPr>
            <w:tcW w:type="dxa" w:w="2268"/>
            <w:shd w:val="clear" w:color="auto" w:fill="F2F2F2"/>
            <w:tcBorders>
              <w:top w:val="single" w:sz="4" w:color="BFBFBF"/>
              <w:left w:val="single" w:sz="4" w:color="BFBFBF"/>
              <w:bottom w:val="single" w:sz="4" w:color="BFBFBF"/>
              <w:right w:val="single" w:sz="4" w:color="BFBFBF"/>
            </w:tcBorders>
            <w:vAlign w:val="center"/>
          </w:tcPr>
          <w:p>
            <w:r>
              <w:rPr>
                <w:rFonts w:ascii="Calibri" w:hAnsi="Calibri"/>
                <w:sz w:val="20"/>
              </w:rPr>
              <w:t>30-60</w:t>
            </w:r>
          </w:p>
        </w:tc>
      </w:tr>
    </w:tbl>
    <w:p>
      <w:pPr>
        <w:spacing w:after="120"/>
      </w:pPr>
    </w:p>
    <w:p>
      <w:pPr>
        <w:pStyle w:val="Heading3"/>
        <w:spacing w:before="180" w:after="120"/>
      </w:pPr>
      <w:r>
        <w:rPr>
          <w:rFonts w:ascii="Calibri" w:hAnsi="Calibri"/>
          <w:b/>
          <w:color w:val="0A2540"/>
          <w:sz w:val="26"/>
        </w:rPr>
        <w:t>Spécificités fiscales et réglementaires</w:t>
      </w:r>
    </w:p>
    <w:p>
      <w:pPr>
        <w:pStyle w:val="ListBullet"/>
        <w:spacing w:after="60"/>
        <w:ind w:left="340"/>
      </w:pPr>
      <w:r>
        <w:rPr>
          <w:rFonts w:ascii="Calibri" w:hAnsi="Calibri"/>
          <w:sz w:val="22"/>
        </w:rPr>
        <w:t>IS standard, déclaration TVA mensuelle ou trimestrielle, récupération TVA sur achats</w:t>
      </w:r>
    </w:p>
    <w:p>
      <w:pPr>
        <w:pStyle w:val="ListBullet"/>
        <w:spacing w:after="60"/>
        <w:ind w:left="340"/>
      </w:pPr>
      <w:r>
        <w:rPr>
          <w:rFonts w:ascii="Calibri" w:hAnsi="Calibri"/>
          <w:sz w:val="22"/>
        </w:rPr>
        <w:t>Régime fiscal du forfait (TPE), régime réel simplifié (PME), régime réel normal (grandes entreprises)</w:t>
      </w:r>
    </w:p>
    <w:p>
      <w:pPr>
        <w:pStyle w:val="ListBullet"/>
        <w:spacing w:after="60"/>
        <w:ind w:left="340"/>
      </w:pPr>
      <w:r>
        <w:rPr>
          <w:rFonts w:ascii="Calibri" w:hAnsi="Calibri"/>
          <w:sz w:val="22"/>
        </w:rPr>
        <w:t>Taxes douanières à l'importation (porte de sortie majeure pour la marge en zone UEMOA/CEMAC)</w:t>
      </w:r>
    </w:p>
    <w:p>
      <w:pPr>
        <w:pStyle w:val="ListBullet"/>
        <w:spacing w:after="60"/>
        <w:ind w:left="340"/>
      </w:pPr>
      <w:r>
        <w:rPr>
          <w:rFonts w:ascii="Calibri" w:hAnsi="Calibri"/>
          <w:sz w:val="22"/>
        </w:rPr>
        <w:t>Patente / contribution forfaitaire municipale variable selon surface commerciale et CA</w:t>
      </w:r>
    </w:p>
    <w:p>
      <w:pPr>
        <w:pStyle w:val="ListBullet"/>
        <w:spacing w:after="60"/>
        <w:ind w:left="340"/>
      </w:pPr>
      <w:r>
        <w:rPr>
          <w:rFonts w:ascii="Calibri" w:hAnsi="Calibri"/>
          <w:sz w:val="22"/>
        </w:rPr>
        <w:t>Pour l'e-commerce : régime fiscal du commerce électronique en émergence (transactions transfrontalières)</w:t>
      </w:r>
    </w:p>
    <w:p>
      <w:pPr>
        <w:pStyle w:val="ListBullet"/>
        <w:spacing w:after="60"/>
        <w:ind w:left="340"/>
      </w:pPr>
      <w:r>
        <w:rPr>
          <w:rFonts w:ascii="Calibri" w:hAnsi="Calibri"/>
          <w:sz w:val="22"/>
        </w:rPr>
        <w:t>Régime des stocks périssables : provisions pour dépréciation déductibles sous conditions</w:t>
      </w:r>
    </w:p>
    <w:p>
      <w:pPr>
        <w:pStyle w:val="Heading3"/>
        <w:spacing w:before="180" w:after="120"/>
      </w:pPr>
      <w:r>
        <w:rPr>
          <w:rFonts w:ascii="Calibri" w:hAnsi="Calibri"/>
          <w:b/>
          <w:color w:val="0A2540"/>
          <w:sz w:val="26"/>
        </w:rPr>
        <w:t>Modèle de revenus et structure de coûts</w:t>
      </w:r>
    </w:p>
    <w:p>
      <w:pPr>
        <w:spacing w:before="0" w:after="120"/>
        <w:jc w:val="both"/>
      </w:pPr>
      <w:r>
        <w:rPr>
          <w:rFonts w:ascii="Calibri" w:hAnsi="Calibri"/>
          <w:b w:val="0"/>
          <w:i w:val="0"/>
          <w:color w:val="000000"/>
          <w:sz w:val="22"/>
        </w:rPr>
        <w:t>Le P&amp;L commerce est dominé par le coût d'achat des marchandises vendues (CAMV). La structure type est la suivante :</w:t>
      </w:r>
    </w:p>
    <w:tbl>
      <w:tblPr>
        <w:tblW w:type="auto" w:w="0"/>
        <w:jc w:val="center"/>
        <w:tblLayout w:type="fixed"/>
        <w:tblLook w:firstColumn="1" w:firstRow="1" w:lastColumn="0" w:lastRow="0" w:noHBand="0" w:noVBand="1" w:val="04A0"/>
      </w:tblPr>
      <w:tblGrid>
        <w:gridCol w:w="3135"/>
        <w:gridCol w:w="3135"/>
        <w:gridCol w:w="3135"/>
      </w:tblGrid>
      <w:tr>
        <w:tc>
          <w:tcPr>
            <w:tcW w:type="dxa" w:w="2835"/>
            <w:shd w:val="clear" w:color="auto" w:fill="0A2540"/>
            <w:tcBorders>
              <w:top w:val="single" w:sz="4" w:color="BFBFBF"/>
              <w:left w:val="single" w:sz="4" w:color="BFBFBF"/>
              <w:bottom w:val="single" w:sz="4" w:color="BFBFBF"/>
              <w:right w:val="single" w:sz="4" w:color="BFBFBF"/>
            </w:tcBorders>
            <w:vAlign w:val="center"/>
          </w:tcPr>
          <w:p>
            <w:pPr>
              <w:jc w:val="center"/>
            </w:pPr>
            <w:r>
              <w:rPr>
                <w:rFonts w:ascii="Calibri" w:hAnsi="Calibri"/>
                <w:b/>
                <w:color w:val="FFFFFF"/>
                <w:sz w:val="20"/>
              </w:rPr>
              <w:t>Poste</w:t>
            </w:r>
          </w:p>
        </w:tc>
        <w:tc>
          <w:tcPr>
            <w:tcW w:type="dxa" w:w="1984"/>
            <w:shd w:val="clear" w:color="auto" w:fill="0A2540"/>
            <w:tcBorders>
              <w:top w:val="single" w:sz="4" w:color="BFBFBF"/>
              <w:left w:val="single" w:sz="4" w:color="BFBFBF"/>
              <w:bottom w:val="single" w:sz="4" w:color="BFBFBF"/>
              <w:right w:val="single" w:sz="4" w:color="BFBFBF"/>
            </w:tcBorders>
            <w:vAlign w:val="center"/>
          </w:tcPr>
          <w:p>
            <w:pPr>
              <w:jc w:val="center"/>
            </w:pPr>
            <w:r>
              <w:rPr>
                <w:rFonts w:ascii="Calibri" w:hAnsi="Calibri"/>
                <w:b/>
                <w:color w:val="FFFFFF"/>
                <w:sz w:val="20"/>
              </w:rPr>
              <w:t>% du CA (typique)</w:t>
            </w:r>
          </w:p>
        </w:tc>
        <w:tc>
          <w:tcPr>
            <w:tcW w:type="dxa" w:w="4252"/>
            <w:shd w:val="clear" w:color="auto" w:fill="0A2540"/>
            <w:tcBorders>
              <w:top w:val="single" w:sz="4" w:color="BFBFBF"/>
              <w:left w:val="single" w:sz="4" w:color="BFBFBF"/>
              <w:bottom w:val="single" w:sz="4" w:color="BFBFBF"/>
              <w:right w:val="single" w:sz="4" w:color="BFBFBF"/>
            </w:tcBorders>
            <w:vAlign w:val="center"/>
          </w:tcPr>
          <w:p>
            <w:pPr>
              <w:jc w:val="center"/>
            </w:pPr>
            <w:r>
              <w:rPr>
                <w:rFonts w:ascii="Calibri" w:hAnsi="Calibri"/>
                <w:b/>
                <w:color w:val="FFFFFF"/>
                <w:sz w:val="20"/>
              </w:rPr>
              <w:t>Commentaire</w:t>
            </w:r>
          </w:p>
        </w:tc>
      </w:tr>
      <w:tr>
        <w:tc>
          <w:tcPr>
            <w:tcW w:type="dxa" w:w="2835"/>
            <w:tcBorders>
              <w:top w:val="single" w:sz="4" w:color="BFBFBF"/>
              <w:left w:val="single" w:sz="4" w:color="BFBFBF"/>
              <w:bottom w:val="single" w:sz="4" w:color="BFBFBF"/>
              <w:right w:val="single" w:sz="4" w:color="BFBFBF"/>
            </w:tcBorders>
            <w:vAlign w:val="center"/>
          </w:tcPr>
          <w:p>
            <w:r>
              <w:rPr>
                <w:rFonts w:ascii="Calibri" w:hAnsi="Calibri"/>
                <w:sz w:val="20"/>
              </w:rPr>
              <w:t>Chiffre d'affaires</w:t>
            </w:r>
          </w:p>
        </w:tc>
        <w:tc>
          <w:tcPr>
            <w:tcW w:type="dxa" w:w="1984"/>
            <w:tcBorders>
              <w:top w:val="single" w:sz="4" w:color="BFBFBF"/>
              <w:left w:val="single" w:sz="4" w:color="BFBFBF"/>
              <w:bottom w:val="single" w:sz="4" w:color="BFBFBF"/>
              <w:right w:val="single" w:sz="4" w:color="BFBFBF"/>
            </w:tcBorders>
            <w:vAlign w:val="center"/>
          </w:tcPr>
          <w:p>
            <w:r>
              <w:rPr>
                <w:rFonts w:ascii="Calibri" w:hAnsi="Calibri"/>
                <w:sz w:val="20"/>
              </w:rPr>
              <w:t>100%</w:t>
            </w:r>
          </w:p>
        </w:tc>
        <w:tc>
          <w:tcPr>
            <w:tcW w:type="dxa" w:w="4252"/>
            <w:tcBorders>
              <w:top w:val="single" w:sz="4" w:color="BFBFBF"/>
              <w:left w:val="single" w:sz="4" w:color="BFBFBF"/>
              <w:bottom w:val="single" w:sz="4" w:color="BFBFBF"/>
              <w:right w:val="single" w:sz="4" w:color="BFBFBF"/>
            </w:tcBorders>
            <w:vAlign w:val="center"/>
          </w:tcPr>
          <w:p>
            <w:r>
              <w:rPr>
                <w:rFonts w:ascii="Calibri" w:hAnsi="Calibri"/>
                <w:sz w:val="20"/>
              </w:rPr>
              <w:t>Brut, ou net des remises et retours</w:t>
            </w:r>
          </w:p>
        </w:tc>
      </w:tr>
      <w:tr>
        <w:tc>
          <w:tcPr>
            <w:tcW w:type="dxa" w:w="2835"/>
            <w:shd w:val="clear" w:color="auto" w:fill="F2F2F2"/>
            <w:tcBorders>
              <w:top w:val="single" w:sz="4" w:color="BFBFBF"/>
              <w:left w:val="single" w:sz="4" w:color="BFBFBF"/>
              <w:bottom w:val="single" w:sz="4" w:color="BFBFBF"/>
              <w:right w:val="single" w:sz="4" w:color="BFBFBF"/>
            </w:tcBorders>
            <w:vAlign w:val="center"/>
          </w:tcPr>
          <w:p>
            <w:r>
              <w:rPr>
                <w:rFonts w:ascii="Calibri" w:hAnsi="Calibri"/>
                <w:sz w:val="20"/>
              </w:rPr>
              <w:t>- Achats consommés (CAMV)</w:t>
            </w:r>
          </w:p>
        </w:tc>
        <w:tc>
          <w:tcPr>
            <w:tcW w:type="dxa" w:w="1984"/>
            <w:shd w:val="clear" w:color="auto" w:fill="F2F2F2"/>
            <w:tcBorders>
              <w:top w:val="single" w:sz="4" w:color="BFBFBF"/>
              <w:left w:val="single" w:sz="4" w:color="BFBFBF"/>
              <w:bottom w:val="single" w:sz="4" w:color="BFBFBF"/>
              <w:right w:val="single" w:sz="4" w:color="BFBFBF"/>
            </w:tcBorders>
            <w:vAlign w:val="center"/>
          </w:tcPr>
          <w:p>
            <w:r>
              <w:rPr>
                <w:rFonts w:ascii="Calibri" w:hAnsi="Calibri"/>
                <w:sz w:val="20"/>
              </w:rPr>
              <w:t>60-85%</w:t>
            </w:r>
          </w:p>
        </w:tc>
        <w:tc>
          <w:tcPr>
            <w:tcW w:type="dxa" w:w="4252"/>
            <w:shd w:val="clear" w:color="auto" w:fill="F2F2F2"/>
            <w:tcBorders>
              <w:top w:val="single" w:sz="4" w:color="BFBFBF"/>
              <w:left w:val="single" w:sz="4" w:color="BFBFBF"/>
              <w:bottom w:val="single" w:sz="4" w:color="BFBFBF"/>
              <w:right w:val="single" w:sz="4" w:color="BFBFBF"/>
            </w:tcBorders>
            <w:vAlign w:val="center"/>
          </w:tcPr>
          <w:p>
            <w:r>
              <w:rPr>
                <w:rFonts w:ascii="Calibri" w:hAnsi="Calibri"/>
                <w:sz w:val="20"/>
              </w:rPr>
              <w:t>Achats + Δ stock</w:t>
            </w:r>
          </w:p>
        </w:tc>
      </w:tr>
      <w:tr>
        <w:tc>
          <w:tcPr>
            <w:tcW w:type="dxa" w:w="2835"/>
            <w:tcBorders>
              <w:top w:val="single" w:sz="4" w:color="BFBFBF"/>
              <w:left w:val="single" w:sz="4" w:color="BFBFBF"/>
              <w:bottom w:val="single" w:sz="4" w:color="BFBFBF"/>
              <w:right w:val="single" w:sz="4" w:color="BFBFBF"/>
            </w:tcBorders>
            <w:vAlign w:val="center"/>
          </w:tcPr>
          <w:p>
            <w:r>
              <w:rPr>
                <w:rFonts w:ascii="Calibri" w:hAnsi="Calibri"/>
                <w:sz w:val="20"/>
              </w:rPr>
              <w:t>= Marge brute</w:t>
            </w:r>
          </w:p>
        </w:tc>
        <w:tc>
          <w:tcPr>
            <w:tcW w:type="dxa" w:w="1984"/>
            <w:tcBorders>
              <w:top w:val="single" w:sz="4" w:color="BFBFBF"/>
              <w:left w:val="single" w:sz="4" w:color="BFBFBF"/>
              <w:bottom w:val="single" w:sz="4" w:color="BFBFBF"/>
              <w:right w:val="single" w:sz="4" w:color="BFBFBF"/>
            </w:tcBorders>
            <w:vAlign w:val="center"/>
          </w:tcPr>
          <w:p>
            <w:r>
              <w:rPr>
                <w:rFonts w:ascii="Calibri" w:hAnsi="Calibri"/>
                <w:sz w:val="20"/>
              </w:rPr>
              <w:t>15-40%</w:t>
            </w:r>
          </w:p>
        </w:tc>
        <w:tc>
          <w:tcPr>
            <w:tcW w:type="dxa" w:w="4252"/>
            <w:tcBorders>
              <w:top w:val="single" w:sz="4" w:color="BFBFBF"/>
              <w:left w:val="single" w:sz="4" w:color="BFBFBF"/>
              <w:bottom w:val="single" w:sz="4" w:color="BFBFBF"/>
              <w:right w:val="single" w:sz="4" w:color="BFBFBF"/>
            </w:tcBorders>
            <w:vAlign w:val="center"/>
          </w:tcPr>
          <w:p>
            <w:r>
              <w:rPr>
                <w:rFonts w:ascii="Calibri" w:hAnsi="Calibri"/>
                <w:sz w:val="20"/>
              </w:rPr>
              <w:t>Indicateur métier central</w:t>
            </w:r>
          </w:p>
        </w:tc>
      </w:tr>
      <w:tr>
        <w:tc>
          <w:tcPr>
            <w:tcW w:type="dxa" w:w="2835"/>
            <w:shd w:val="clear" w:color="auto" w:fill="F2F2F2"/>
            <w:tcBorders>
              <w:top w:val="single" w:sz="4" w:color="BFBFBF"/>
              <w:left w:val="single" w:sz="4" w:color="BFBFBF"/>
              <w:bottom w:val="single" w:sz="4" w:color="BFBFBF"/>
              <w:right w:val="single" w:sz="4" w:color="BFBFBF"/>
            </w:tcBorders>
            <w:vAlign w:val="center"/>
          </w:tcPr>
          <w:p>
            <w:r>
              <w:rPr>
                <w:rFonts w:ascii="Calibri" w:hAnsi="Calibri"/>
                <w:sz w:val="20"/>
              </w:rPr>
              <w:t>- Frais de personnel</w:t>
            </w:r>
          </w:p>
        </w:tc>
        <w:tc>
          <w:tcPr>
            <w:tcW w:type="dxa" w:w="1984"/>
            <w:shd w:val="clear" w:color="auto" w:fill="F2F2F2"/>
            <w:tcBorders>
              <w:top w:val="single" w:sz="4" w:color="BFBFBF"/>
              <w:left w:val="single" w:sz="4" w:color="BFBFBF"/>
              <w:bottom w:val="single" w:sz="4" w:color="BFBFBF"/>
              <w:right w:val="single" w:sz="4" w:color="BFBFBF"/>
            </w:tcBorders>
            <w:vAlign w:val="center"/>
          </w:tcPr>
          <w:p>
            <w:r>
              <w:rPr>
                <w:rFonts w:ascii="Calibri" w:hAnsi="Calibri"/>
                <w:sz w:val="20"/>
              </w:rPr>
              <w:t>5-15%</w:t>
            </w:r>
          </w:p>
        </w:tc>
        <w:tc>
          <w:tcPr>
            <w:tcW w:type="dxa" w:w="4252"/>
            <w:shd w:val="clear" w:color="auto" w:fill="F2F2F2"/>
            <w:tcBorders>
              <w:top w:val="single" w:sz="4" w:color="BFBFBF"/>
              <w:left w:val="single" w:sz="4" w:color="BFBFBF"/>
              <w:bottom w:val="single" w:sz="4" w:color="BFBFBF"/>
              <w:right w:val="single" w:sz="4" w:color="BFBFBF"/>
            </w:tcBorders>
            <w:vAlign w:val="center"/>
          </w:tcPr>
          <w:p>
            <w:r>
              <w:rPr>
                <w:rFonts w:ascii="Calibri" w:hAnsi="Calibri"/>
                <w:sz w:val="20"/>
              </w:rPr>
              <w:t>Vendeurs, caissiers, manutention</w:t>
            </w:r>
          </w:p>
        </w:tc>
      </w:tr>
      <w:tr>
        <w:tc>
          <w:tcPr>
            <w:tcW w:type="dxa" w:w="2835"/>
            <w:tcBorders>
              <w:top w:val="single" w:sz="4" w:color="BFBFBF"/>
              <w:left w:val="single" w:sz="4" w:color="BFBFBF"/>
              <w:bottom w:val="single" w:sz="4" w:color="BFBFBF"/>
              <w:right w:val="single" w:sz="4" w:color="BFBFBF"/>
            </w:tcBorders>
            <w:vAlign w:val="center"/>
          </w:tcPr>
          <w:p>
            <w:r>
              <w:rPr>
                <w:rFonts w:ascii="Calibri" w:hAnsi="Calibri"/>
                <w:sz w:val="20"/>
              </w:rPr>
              <w:t>- Loyers &amp; immobilier</w:t>
            </w:r>
          </w:p>
        </w:tc>
        <w:tc>
          <w:tcPr>
            <w:tcW w:type="dxa" w:w="1984"/>
            <w:tcBorders>
              <w:top w:val="single" w:sz="4" w:color="BFBFBF"/>
              <w:left w:val="single" w:sz="4" w:color="BFBFBF"/>
              <w:bottom w:val="single" w:sz="4" w:color="BFBFBF"/>
              <w:right w:val="single" w:sz="4" w:color="BFBFBF"/>
            </w:tcBorders>
            <w:vAlign w:val="center"/>
          </w:tcPr>
          <w:p>
            <w:r>
              <w:rPr>
                <w:rFonts w:ascii="Calibri" w:hAnsi="Calibri"/>
                <w:sz w:val="20"/>
              </w:rPr>
              <w:t>3-10%</w:t>
            </w:r>
          </w:p>
        </w:tc>
        <w:tc>
          <w:tcPr>
            <w:tcW w:type="dxa" w:w="4252"/>
            <w:tcBorders>
              <w:top w:val="single" w:sz="4" w:color="BFBFBF"/>
              <w:left w:val="single" w:sz="4" w:color="BFBFBF"/>
              <w:bottom w:val="single" w:sz="4" w:color="BFBFBF"/>
              <w:right w:val="single" w:sz="4" w:color="BFBFBF"/>
            </w:tcBorders>
            <w:vAlign w:val="center"/>
          </w:tcPr>
          <w:p>
            <w:r>
              <w:rPr>
                <w:rFonts w:ascii="Calibri" w:hAnsi="Calibri"/>
                <w:sz w:val="20"/>
              </w:rPr>
              <w:t>Pondéré par localisation</w:t>
            </w:r>
          </w:p>
        </w:tc>
      </w:tr>
      <w:tr>
        <w:tc>
          <w:tcPr>
            <w:tcW w:type="dxa" w:w="2835"/>
            <w:shd w:val="clear" w:color="auto" w:fill="F2F2F2"/>
            <w:tcBorders>
              <w:top w:val="single" w:sz="4" w:color="BFBFBF"/>
              <w:left w:val="single" w:sz="4" w:color="BFBFBF"/>
              <w:bottom w:val="single" w:sz="4" w:color="BFBFBF"/>
              <w:right w:val="single" w:sz="4" w:color="BFBFBF"/>
            </w:tcBorders>
            <w:vAlign w:val="center"/>
          </w:tcPr>
          <w:p>
            <w:r>
              <w:rPr>
                <w:rFonts w:ascii="Calibri" w:hAnsi="Calibri"/>
                <w:sz w:val="20"/>
              </w:rPr>
              <w:t>- Marketing &amp; communication</w:t>
            </w:r>
          </w:p>
        </w:tc>
        <w:tc>
          <w:tcPr>
            <w:tcW w:type="dxa" w:w="1984"/>
            <w:shd w:val="clear" w:color="auto" w:fill="F2F2F2"/>
            <w:tcBorders>
              <w:top w:val="single" w:sz="4" w:color="BFBFBF"/>
              <w:left w:val="single" w:sz="4" w:color="BFBFBF"/>
              <w:bottom w:val="single" w:sz="4" w:color="BFBFBF"/>
              <w:right w:val="single" w:sz="4" w:color="BFBFBF"/>
            </w:tcBorders>
            <w:vAlign w:val="center"/>
          </w:tcPr>
          <w:p>
            <w:r>
              <w:rPr>
                <w:rFonts w:ascii="Calibri" w:hAnsi="Calibri"/>
                <w:sz w:val="20"/>
              </w:rPr>
              <w:t>1-5%</w:t>
            </w:r>
          </w:p>
        </w:tc>
        <w:tc>
          <w:tcPr>
            <w:tcW w:type="dxa" w:w="4252"/>
            <w:shd w:val="clear" w:color="auto" w:fill="F2F2F2"/>
            <w:tcBorders>
              <w:top w:val="single" w:sz="4" w:color="BFBFBF"/>
              <w:left w:val="single" w:sz="4" w:color="BFBFBF"/>
              <w:bottom w:val="single" w:sz="4" w:color="BFBFBF"/>
              <w:right w:val="single" w:sz="4" w:color="BFBFBF"/>
            </w:tcBorders>
            <w:vAlign w:val="center"/>
          </w:tcPr>
          <w:p>
            <w:r>
              <w:rPr>
                <w:rFonts w:ascii="Calibri" w:hAnsi="Calibri"/>
                <w:sz w:val="20"/>
              </w:rPr>
              <w:t>Plus élevé en e-commerce (15-25%)</w:t>
            </w:r>
          </w:p>
        </w:tc>
      </w:tr>
      <w:tr>
        <w:tc>
          <w:tcPr>
            <w:tcW w:type="dxa" w:w="2835"/>
            <w:tcBorders>
              <w:top w:val="single" w:sz="4" w:color="BFBFBF"/>
              <w:left w:val="single" w:sz="4" w:color="BFBFBF"/>
              <w:bottom w:val="single" w:sz="4" w:color="BFBFBF"/>
              <w:right w:val="single" w:sz="4" w:color="BFBFBF"/>
            </w:tcBorders>
            <w:vAlign w:val="center"/>
          </w:tcPr>
          <w:p>
            <w:r>
              <w:rPr>
                <w:rFonts w:ascii="Calibri" w:hAnsi="Calibri"/>
                <w:sz w:val="20"/>
              </w:rPr>
              <w:t>- Logistique &amp; transport</w:t>
            </w:r>
          </w:p>
        </w:tc>
        <w:tc>
          <w:tcPr>
            <w:tcW w:type="dxa" w:w="1984"/>
            <w:tcBorders>
              <w:top w:val="single" w:sz="4" w:color="BFBFBF"/>
              <w:left w:val="single" w:sz="4" w:color="BFBFBF"/>
              <w:bottom w:val="single" w:sz="4" w:color="BFBFBF"/>
              <w:right w:val="single" w:sz="4" w:color="BFBFBF"/>
            </w:tcBorders>
            <w:vAlign w:val="center"/>
          </w:tcPr>
          <w:p>
            <w:r>
              <w:rPr>
                <w:rFonts w:ascii="Calibri" w:hAnsi="Calibri"/>
                <w:sz w:val="20"/>
              </w:rPr>
              <w:t>2-8%</w:t>
            </w:r>
          </w:p>
        </w:tc>
        <w:tc>
          <w:tcPr>
            <w:tcW w:type="dxa" w:w="4252"/>
            <w:tcBorders>
              <w:top w:val="single" w:sz="4" w:color="BFBFBF"/>
              <w:left w:val="single" w:sz="4" w:color="BFBFBF"/>
              <w:bottom w:val="single" w:sz="4" w:color="BFBFBF"/>
              <w:right w:val="single" w:sz="4" w:color="BFBFBF"/>
            </w:tcBorders>
            <w:vAlign w:val="center"/>
          </w:tcPr>
          <w:p>
            <w:r>
              <w:rPr>
                <w:rFonts w:ascii="Calibri" w:hAnsi="Calibri"/>
                <w:sz w:val="20"/>
              </w:rPr>
              <w:t>Plus élevé en e-commerce et grossiste</w:t>
            </w:r>
          </w:p>
        </w:tc>
      </w:tr>
      <w:tr>
        <w:tc>
          <w:tcPr>
            <w:tcW w:type="dxa" w:w="2835"/>
            <w:shd w:val="clear" w:color="auto" w:fill="F2F2F2"/>
            <w:tcBorders>
              <w:top w:val="single" w:sz="4" w:color="BFBFBF"/>
              <w:left w:val="single" w:sz="4" w:color="BFBFBF"/>
              <w:bottom w:val="single" w:sz="4" w:color="BFBFBF"/>
              <w:right w:val="single" w:sz="4" w:color="BFBFBF"/>
            </w:tcBorders>
            <w:vAlign w:val="center"/>
          </w:tcPr>
          <w:p>
            <w:r>
              <w:rPr>
                <w:rFonts w:ascii="Calibri" w:hAnsi="Calibri"/>
                <w:sz w:val="20"/>
              </w:rPr>
              <w:t>- Autres charges externes</w:t>
            </w:r>
          </w:p>
        </w:tc>
        <w:tc>
          <w:tcPr>
            <w:tcW w:type="dxa" w:w="1984"/>
            <w:shd w:val="clear" w:color="auto" w:fill="F2F2F2"/>
            <w:tcBorders>
              <w:top w:val="single" w:sz="4" w:color="BFBFBF"/>
              <w:left w:val="single" w:sz="4" w:color="BFBFBF"/>
              <w:bottom w:val="single" w:sz="4" w:color="BFBFBF"/>
              <w:right w:val="single" w:sz="4" w:color="BFBFBF"/>
            </w:tcBorders>
            <w:vAlign w:val="center"/>
          </w:tcPr>
          <w:p>
            <w:r>
              <w:rPr>
                <w:rFonts w:ascii="Calibri" w:hAnsi="Calibri"/>
                <w:sz w:val="20"/>
              </w:rPr>
              <w:t>2-5%</w:t>
            </w:r>
          </w:p>
        </w:tc>
        <w:tc>
          <w:tcPr>
            <w:tcW w:type="dxa" w:w="4252"/>
            <w:shd w:val="clear" w:color="auto" w:fill="F2F2F2"/>
            <w:tcBorders>
              <w:top w:val="single" w:sz="4" w:color="BFBFBF"/>
              <w:left w:val="single" w:sz="4" w:color="BFBFBF"/>
              <w:bottom w:val="single" w:sz="4" w:color="BFBFBF"/>
              <w:right w:val="single" w:sz="4" w:color="BFBFBF"/>
            </w:tcBorders>
            <w:vAlign w:val="center"/>
          </w:tcPr>
          <w:p>
            <w:r>
              <w:rPr>
                <w:rFonts w:ascii="Calibri" w:hAnsi="Calibri"/>
                <w:sz w:val="20"/>
              </w:rPr>
              <w:t>Énergie, télécoms, IT</w:t>
            </w:r>
          </w:p>
        </w:tc>
      </w:tr>
      <w:tr>
        <w:tc>
          <w:tcPr>
            <w:tcW w:type="dxa" w:w="2835"/>
            <w:tcBorders>
              <w:top w:val="single" w:sz="4" w:color="BFBFBF"/>
              <w:left w:val="single" w:sz="4" w:color="BFBFBF"/>
              <w:bottom w:val="single" w:sz="4" w:color="BFBFBF"/>
              <w:right w:val="single" w:sz="4" w:color="BFBFBF"/>
            </w:tcBorders>
            <w:vAlign w:val="center"/>
          </w:tcPr>
          <w:p>
            <w:r>
              <w:rPr>
                <w:rFonts w:ascii="Calibri" w:hAnsi="Calibri"/>
                <w:sz w:val="20"/>
              </w:rPr>
              <w:t>= EBITDA</w:t>
            </w:r>
          </w:p>
        </w:tc>
        <w:tc>
          <w:tcPr>
            <w:tcW w:type="dxa" w:w="1984"/>
            <w:tcBorders>
              <w:top w:val="single" w:sz="4" w:color="BFBFBF"/>
              <w:left w:val="single" w:sz="4" w:color="BFBFBF"/>
              <w:bottom w:val="single" w:sz="4" w:color="BFBFBF"/>
              <w:right w:val="single" w:sz="4" w:color="BFBFBF"/>
            </w:tcBorders>
            <w:vAlign w:val="center"/>
          </w:tcPr>
          <w:p>
            <w:r>
              <w:rPr>
                <w:rFonts w:ascii="Calibri" w:hAnsi="Calibri"/>
                <w:sz w:val="20"/>
              </w:rPr>
              <w:t>3-12%</w:t>
            </w:r>
          </w:p>
        </w:tc>
        <w:tc>
          <w:tcPr>
            <w:tcW w:type="dxa" w:w="4252"/>
            <w:tcBorders>
              <w:top w:val="single" w:sz="4" w:color="BFBFBF"/>
              <w:left w:val="single" w:sz="4" w:color="BFBFBF"/>
              <w:bottom w:val="single" w:sz="4" w:color="BFBFBF"/>
              <w:right w:val="single" w:sz="4" w:color="BFBFBF"/>
            </w:tcBorders>
            <w:vAlign w:val="center"/>
          </w:tcPr>
          <w:p>
            <w:r>
              <w:rPr>
                <w:rFonts w:ascii="Calibri" w:hAnsi="Calibri"/>
                <w:sz w:val="20"/>
              </w:rPr>
              <w:t>Variable selon segment</w:t>
            </w:r>
          </w:p>
        </w:tc>
      </w:tr>
    </w:tbl>
    <w:p>
      <w:pPr>
        <w:spacing w:after="120"/>
      </w:pPr>
    </w:p>
    <w:p>
      <w:pPr>
        <w:pStyle w:val="Heading3"/>
        <w:spacing w:before="180" w:after="120"/>
      </w:pPr>
      <w:r>
        <w:rPr>
          <w:rFonts w:ascii="Calibri" w:hAnsi="Calibri"/>
          <w:b/>
          <w:color w:val="0A2540"/>
          <w:sz w:val="26"/>
        </w:rPr>
        <w:t>Hypothèses clés (intrants paramétrables)</w:t>
      </w:r>
    </w:p>
    <w:p>
      <w:pPr>
        <w:pStyle w:val="ListBullet"/>
        <w:spacing w:after="60"/>
        <w:ind w:left="340"/>
      </w:pPr>
      <w:r>
        <w:rPr>
          <w:rFonts w:ascii="Calibri" w:hAnsi="Calibri"/>
          <w:sz w:val="22"/>
        </w:rPr>
        <w:t>Catalogue produits / familles : nombre de références, prix moyen, marge brute par famille</w:t>
      </w:r>
    </w:p>
    <w:p>
      <w:pPr>
        <w:pStyle w:val="ListBullet"/>
        <w:spacing w:after="60"/>
        <w:ind w:left="340"/>
      </w:pPr>
      <w:r>
        <w:rPr>
          <w:rFonts w:ascii="Calibri" w:hAnsi="Calibri"/>
          <w:sz w:val="22"/>
        </w:rPr>
        <w:t>Volume : ventes mensuelles par canal (physique, online, B2B, export), saisonnalité</w:t>
      </w:r>
    </w:p>
    <w:p>
      <w:pPr>
        <w:pStyle w:val="ListBullet"/>
        <w:spacing w:after="60"/>
        <w:ind w:left="340"/>
      </w:pPr>
      <w:r>
        <w:rPr>
          <w:rFonts w:ascii="Calibri" w:hAnsi="Calibri"/>
          <w:sz w:val="22"/>
        </w:rPr>
        <w:t>Marketing : budget acquisition, CAC, taux de conversion, fréquence d'achat</w:t>
      </w:r>
    </w:p>
    <w:p>
      <w:pPr>
        <w:pStyle w:val="ListBullet"/>
        <w:spacing w:after="60"/>
        <w:ind w:left="340"/>
      </w:pPr>
      <w:r>
        <w:rPr>
          <w:rFonts w:ascii="Calibri" w:hAnsi="Calibri"/>
          <w:sz w:val="22"/>
        </w:rPr>
        <w:t>Politique commerciale : remises, soldes, promotions, programme fidélité</w:t>
      </w:r>
    </w:p>
    <w:p>
      <w:pPr>
        <w:pStyle w:val="ListBullet"/>
        <w:spacing w:after="60"/>
        <w:ind w:left="340"/>
      </w:pPr>
      <w:r>
        <w:rPr>
          <w:rFonts w:ascii="Calibri" w:hAnsi="Calibri"/>
          <w:sz w:val="22"/>
        </w:rPr>
        <w:t>Stocks : rotation cible par famille, niveau de sécurité, taux de péremption / casse</w:t>
      </w:r>
    </w:p>
    <w:p>
      <w:pPr>
        <w:pStyle w:val="ListBullet"/>
        <w:spacing w:after="60"/>
        <w:ind w:left="340"/>
      </w:pPr>
      <w:r>
        <w:rPr>
          <w:rFonts w:ascii="Calibri" w:hAnsi="Calibri"/>
          <w:sz w:val="22"/>
        </w:rPr>
        <w:t>Achats : DPO fournisseurs, conditions de règlement (escompte, échéance), monnaie d'achat (FX si import)</w:t>
      </w:r>
    </w:p>
    <w:p>
      <w:pPr>
        <w:pStyle w:val="ListBullet"/>
        <w:spacing w:after="60"/>
        <w:ind w:left="340"/>
      </w:pPr>
      <w:r>
        <w:rPr>
          <w:rFonts w:ascii="Calibri" w:hAnsi="Calibri"/>
          <w:sz w:val="22"/>
        </w:rPr>
        <w:t>Logistique : entrepôts (capacité, coût), transport (j+1, j+3), retours (taux, coût)</w:t>
      </w:r>
    </w:p>
    <w:p>
      <w:pPr>
        <w:pStyle w:val="ListBullet"/>
        <w:spacing w:after="60"/>
        <w:ind w:left="340"/>
      </w:pPr>
      <w:r>
        <w:rPr>
          <w:rFonts w:ascii="Calibri" w:hAnsi="Calibri"/>
          <w:sz w:val="22"/>
        </w:rPr>
        <w:t>Réseau : nombre de points de vente, surface moyenne, CA/m², staff/point de vente</w:t>
      </w:r>
    </w:p>
    <w:p>
      <w:pPr>
        <w:pStyle w:val="ListBullet"/>
        <w:spacing w:after="60"/>
        <w:ind w:left="340"/>
      </w:pPr>
      <w:r>
        <w:rPr>
          <w:rFonts w:ascii="Calibri" w:hAnsi="Calibri"/>
          <w:sz w:val="22"/>
        </w:rPr>
        <w:t>E-commerce spécifique : visiteurs, taux de conversion, panier moyen, taux de retour</w:t>
      </w:r>
    </w:p>
    <w:p>
      <w:pPr>
        <w:pStyle w:val="Heading3"/>
        <w:spacing w:before="180" w:after="120"/>
      </w:pPr>
      <w:r>
        <w:rPr>
          <w:rFonts w:ascii="Calibri" w:hAnsi="Calibri"/>
          <w:b/>
          <w:color w:val="0A2540"/>
          <w:sz w:val="26"/>
        </w:rPr>
        <w:t>Règles de calcul critiques</w:t>
      </w:r>
    </w:p>
    <w:tbl>
      <w:tblPr>
        <w:tblW w:type="auto" w:w="0"/>
        <w:jc w:val="center"/>
        <w:tblLayout w:type="fixed"/>
        <w:tblLook w:firstColumn="1" w:firstRow="1" w:lastColumn="0" w:lastRow="0" w:noHBand="0" w:noVBand="1" w:val="04A0"/>
      </w:tblPr>
      <w:tblGrid>
        <w:gridCol w:w="3135"/>
        <w:gridCol w:w="3135"/>
        <w:gridCol w:w="3135"/>
      </w:tblGrid>
      <w:tr>
        <w:tc>
          <w:tcPr>
            <w:tcW w:type="dxa" w:w="2551"/>
            <w:shd w:val="clear" w:color="auto" w:fill="0A2540"/>
            <w:tcBorders>
              <w:top w:val="single" w:sz="4" w:color="BFBFBF"/>
              <w:left w:val="single" w:sz="4" w:color="BFBFBF"/>
              <w:bottom w:val="single" w:sz="4" w:color="BFBFBF"/>
              <w:right w:val="single" w:sz="4" w:color="BFBFBF"/>
            </w:tcBorders>
            <w:vAlign w:val="center"/>
          </w:tcPr>
          <w:p>
            <w:pPr>
              <w:jc w:val="center"/>
            </w:pPr>
            <w:r>
              <w:rPr>
                <w:rFonts w:ascii="Calibri" w:hAnsi="Calibri"/>
                <w:b/>
                <w:color w:val="FFFFFF"/>
                <w:sz w:val="20"/>
              </w:rPr>
              <w:t>Calcul</w:t>
            </w:r>
          </w:p>
        </w:tc>
        <w:tc>
          <w:tcPr>
            <w:tcW w:type="dxa" w:w="4252"/>
            <w:shd w:val="clear" w:color="auto" w:fill="0A2540"/>
            <w:tcBorders>
              <w:top w:val="single" w:sz="4" w:color="BFBFBF"/>
              <w:left w:val="single" w:sz="4" w:color="BFBFBF"/>
              <w:bottom w:val="single" w:sz="4" w:color="BFBFBF"/>
              <w:right w:val="single" w:sz="4" w:color="BFBFBF"/>
            </w:tcBorders>
            <w:vAlign w:val="center"/>
          </w:tcPr>
          <w:p>
            <w:pPr>
              <w:jc w:val="center"/>
            </w:pPr>
            <w:r>
              <w:rPr>
                <w:rFonts w:ascii="Calibri" w:hAnsi="Calibri"/>
                <w:b/>
                <w:color w:val="FFFFFF"/>
                <w:sz w:val="20"/>
              </w:rPr>
              <w:t>Formule type</w:t>
            </w:r>
          </w:p>
        </w:tc>
        <w:tc>
          <w:tcPr>
            <w:tcW w:type="dxa" w:w="2268"/>
            <w:shd w:val="clear" w:color="auto" w:fill="0A2540"/>
            <w:tcBorders>
              <w:top w:val="single" w:sz="4" w:color="BFBFBF"/>
              <w:left w:val="single" w:sz="4" w:color="BFBFBF"/>
              <w:bottom w:val="single" w:sz="4" w:color="BFBFBF"/>
              <w:right w:val="single" w:sz="4" w:color="BFBFBF"/>
            </w:tcBorders>
            <w:vAlign w:val="center"/>
          </w:tcPr>
          <w:p>
            <w:pPr>
              <w:jc w:val="center"/>
            </w:pPr>
            <w:r>
              <w:rPr>
                <w:rFonts w:ascii="Calibri" w:hAnsi="Calibri"/>
                <w:b/>
                <w:color w:val="FFFFFF"/>
                <w:sz w:val="20"/>
              </w:rPr>
              <w:t>Application</w:t>
            </w:r>
          </w:p>
        </w:tc>
      </w:tr>
      <w:tr>
        <w:tc>
          <w:tcPr>
            <w:tcW w:type="dxa" w:w="2551"/>
            <w:tcBorders>
              <w:top w:val="single" w:sz="4" w:color="BFBFBF"/>
              <w:left w:val="single" w:sz="4" w:color="BFBFBF"/>
              <w:bottom w:val="single" w:sz="4" w:color="BFBFBF"/>
              <w:right w:val="single" w:sz="4" w:color="BFBFBF"/>
            </w:tcBorders>
            <w:vAlign w:val="center"/>
          </w:tcPr>
          <w:p>
            <w:r>
              <w:rPr>
                <w:rFonts w:ascii="Calibri" w:hAnsi="Calibri"/>
                <w:sz w:val="20"/>
              </w:rPr>
              <w:t>Marge brute %</w:t>
            </w:r>
          </w:p>
        </w:tc>
        <w:tc>
          <w:tcPr>
            <w:tcW w:type="dxa" w:w="4252"/>
            <w:tcBorders>
              <w:top w:val="single" w:sz="4" w:color="BFBFBF"/>
              <w:left w:val="single" w:sz="4" w:color="BFBFBF"/>
              <w:bottom w:val="single" w:sz="4" w:color="BFBFBF"/>
              <w:right w:val="single" w:sz="4" w:color="BFBFBF"/>
            </w:tcBorders>
            <w:vAlign w:val="center"/>
          </w:tcPr>
          <w:p>
            <w:r>
              <w:rPr>
                <w:rFonts w:ascii="Calibri" w:hAnsi="Calibri"/>
                <w:sz w:val="20"/>
              </w:rPr>
              <w:t>(CA - CAMV) / CA</w:t>
            </w:r>
          </w:p>
        </w:tc>
        <w:tc>
          <w:tcPr>
            <w:tcW w:type="dxa" w:w="2268"/>
            <w:tcBorders>
              <w:top w:val="single" w:sz="4" w:color="BFBFBF"/>
              <w:left w:val="single" w:sz="4" w:color="BFBFBF"/>
              <w:bottom w:val="single" w:sz="4" w:color="BFBFBF"/>
              <w:right w:val="single" w:sz="4" w:color="BFBFBF"/>
            </w:tcBorders>
            <w:vAlign w:val="center"/>
          </w:tcPr>
          <w:p>
            <w:r>
              <w:rPr>
                <w:rFonts w:ascii="Calibri" w:hAnsi="Calibri"/>
                <w:sz w:val="20"/>
              </w:rPr>
              <w:t>Indicateur clé</w:t>
            </w:r>
          </w:p>
        </w:tc>
      </w:tr>
      <w:tr>
        <w:tc>
          <w:tcPr>
            <w:tcW w:type="dxa" w:w="2551"/>
            <w:shd w:val="clear" w:color="auto" w:fill="F2F2F2"/>
            <w:tcBorders>
              <w:top w:val="single" w:sz="4" w:color="BFBFBF"/>
              <w:left w:val="single" w:sz="4" w:color="BFBFBF"/>
              <w:bottom w:val="single" w:sz="4" w:color="BFBFBF"/>
              <w:right w:val="single" w:sz="4" w:color="BFBFBF"/>
            </w:tcBorders>
            <w:vAlign w:val="center"/>
          </w:tcPr>
          <w:p>
            <w:r>
              <w:rPr>
                <w:rFonts w:ascii="Calibri" w:hAnsi="Calibri"/>
                <w:sz w:val="20"/>
              </w:rPr>
              <w:t>Rotation stocks (jours)</w:t>
            </w:r>
          </w:p>
        </w:tc>
        <w:tc>
          <w:tcPr>
            <w:tcW w:type="dxa" w:w="4252"/>
            <w:shd w:val="clear" w:color="auto" w:fill="F2F2F2"/>
            <w:tcBorders>
              <w:top w:val="single" w:sz="4" w:color="BFBFBF"/>
              <w:left w:val="single" w:sz="4" w:color="BFBFBF"/>
              <w:bottom w:val="single" w:sz="4" w:color="BFBFBF"/>
              <w:right w:val="single" w:sz="4" w:color="BFBFBF"/>
            </w:tcBorders>
            <w:vAlign w:val="center"/>
          </w:tcPr>
          <w:p>
            <w:r>
              <w:rPr>
                <w:rFonts w:ascii="Calibri" w:hAnsi="Calibri"/>
                <w:sz w:val="20"/>
              </w:rPr>
              <w:t>Stock moyen / CAMV × 365</w:t>
            </w:r>
          </w:p>
        </w:tc>
        <w:tc>
          <w:tcPr>
            <w:tcW w:type="dxa" w:w="2268"/>
            <w:shd w:val="clear" w:color="auto" w:fill="F2F2F2"/>
            <w:tcBorders>
              <w:top w:val="single" w:sz="4" w:color="BFBFBF"/>
              <w:left w:val="single" w:sz="4" w:color="BFBFBF"/>
              <w:bottom w:val="single" w:sz="4" w:color="BFBFBF"/>
              <w:right w:val="single" w:sz="4" w:color="BFBFBF"/>
            </w:tcBorders>
            <w:vAlign w:val="center"/>
          </w:tcPr>
          <w:p>
            <w:r>
              <w:rPr>
                <w:rFonts w:ascii="Calibri" w:hAnsi="Calibri"/>
                <w:sz w:val="20"/>
              </w:rPr>
              <w:t>Cash management</w:t>
            </w:r>
          </w:p>
        </w:tc>
      </w:tr>
      <w:tr>
        <w:tc>
          <w:tcPr>
            <w:tcW w:type="dxa" w:w="2551"/>
            <w:tcBorders>
              <w:top w:val="single" w:sz="4" w:color="BFBFBF"/>
              <w:left w:val="single" w:sz="4" w:color="BFBFBF"/>
              <w:bottom w:val="single" w:sz="4" w:color="BFBFBF"/>
              <w:right w:val="single" w:sz="4" w:color="BFBFBF"/>
            </w:tcBorders>
            <w:vAlign w:val="center"/>
          </w:tcPr>
          <w:p>
            <w:r>
              <w:rPr>
                <w:rFonts w:ascii="Calibri" w:hAnsi="Calibri"/>
                <w:sz w:val="20"/>
              </w:rPr>
              <w:t>DSO clients</w:t>
            </w:r>
          </w:p>
        </w:tc>
        <w:tc>
          <w:tcPr>
            <w:tcW w:type="dxa" w:w="4252"/>
            <w:tcBorders>
              <w:top w:val="single" w:sz="4" w:color="BFBFBF"/>
              <w:left w:val="single" w:sz="4" w:color="BFBFBF"/>
              <w:bottom w:val="single" w:sz="4" w:color="BFBFBF"/>
              <w:right w:val="single" w:sz="4" w:color="BFBFBF"/>
            </w:tcBorders>
            <w:vAlign w:val="center"/>
          </w:tcPr>
          <w:p>
            <w:r>
              <w:rPr>
                <w:rFonts w:ascii="Calibri" w:hAnsi="Calibri"/>
                <w:sz w:val="20"/>
              </w:rPr>
              <w:t>Créances clients / CA × 365</w:t>
            </w:r>
          </w:p>
        </w:tc>
        <w:tc>
          <w:tcPr>
            <w:tcW w:type="dxa" w:w="2268"/>
            <w:tcBorders>
              <w:top w:val="single" w:sz="4" w:color="BFBFBF"/>
              <w:left w:val="single" w:sz="4" w:color="BFBFBF"/>
              <w:bottom w:val="single" w:sz="4" w:color="BFBFBF"/>
              <w:right w:val="single" w:sz="4" w:color="BFBFBF"/>
            </w:tcBorders>
            <w:vAlign w:val="center"/>
          </w:tcPr>
          <w:p>
            <w:r>
              <w:rPr>
                <w:rFonts w:ascii="Calibri" w:hAnsi="Calibri"/>
                <w:sz w:val="20"/>
              </w:rPr>
              <w:t>Surtout B2B et grossiste</w:t>
            </w:r>
          </w:p>
        </w:tc>
      </w:tr>
      <w:tr>
        <w:tc>
          <w:tcPr>
            <w:tcW w:type="dxa" w:w="2551"/>
            <w:shd w:val="clear" w:color="auto" w:fill="F2F2F2"/>
            <w:tcBorders>
              <w:top w:val="single" w:sz="4" w:color="BFBFBF"/>
              <w:left w:val="single" w:sz="4" w:color="BFBFBF"/>
              <w:bottom w:val="single" w:sz="4" w:color="BFBFBF"/>
              <w:right w:val="single" w:sz="4" w:color="BFBFBF"/>
            </w:tcBorders>
            <w:vAlign w:val="center"/>
          </w:tcPr>
          <w:p>
            <w:r>
              <w:rPr>
                <w:rFonts w:ascii="Calibri" w:hAnsi="Calibri"/>
                <w:sz w:val="20"/>
              </w:rPr>
              <w:t>DPO fournisseurs</w:t>
            </w:r>
          </w:p>
        </w:tc>
        <w:tc>
          <w:tcPr>
            <w:tcW w:type="dxa" w:w="4252"/>
            <w:shd w:val="clear" w:color="auto" w:fill="F2F2F2"/>
            <w:tcBorders>
              <w:top w:val="single" w:sz="4" w:color="BFBFBF"/>
              <w:left w:val="single" w:sz="4" w:color="BFBFBF"/>
              <w:bottom w:val="single" w:sz="4" w:color="BFBFBF"/>
              <w:right w:val="single" w:sz="4" w:color="BFBFBF"/>
            </w:tcBorders>
            <w:vAlign w:val="center"/>
          </w:tcPr>
          <w:p>
            <w:r>
              <w:rPr>
                <w:rFonts w:ascii="Calibri" w:hAnsi="Calibri"/>
                <w:sz w:val="20"/>
              </w:rPr>
              <w:t>Dettes fournisseurs / Achats × 365</w:t>
            </w:r>
          </w:p>
        </w:tc>
        <w:tc>
          <w:tcPr>
            <w:tcW w:type="dxa" w:w="2268"/>
            <w:shd w:val="clear" w:color="auto" w:fill="F2F2F2"/>
            <w:tcBorders>
              <w:top w:val="single" w:sz="4" w:color="BFBFBF"/>
              <w:left w:val="single" w:sz="4" w:color="BFBFBF"/>
              <w:bottom w:val="single" w:sz="4" w:color="BFBFBF"/>
              <w:right w:val="single" w:sz="4" w:color="BFBFBF"/>
            </w:tcBorders>
            <w:vAlign w:val="center"/>
          </w:tcPr>
          <w:p>
            <w:r>
              <w:rPr>
                <w:rFonts w:ascii="Calibri" w:hAnsi="Calibri"/>
                <w:sz w:val="20"/>
              </w:rPr>
              <w:t>BFR négatif possible</w:t>
            </w:r>
          </w:p>
        </w:tc>
      </w:tr>
      <w:tr>
        <w:tc>
          <w:tcPr>
            <w:tcW w:type="dxa" w:w="2551"/>
            <w:tcBorders>
              <w:top w:val="single" w:sz="4" w:color="BFBFBF"/>
              <w:left w:val="single" w:sz="4" w:color="BFBFBF"/>
              <w:bottom w:val="single" w:sz="4" w:color="BFBFBF"/>
              <w:right w:val="single" w:sz="4" w:color="BFBFBF"/>
            </w:tcBorders>
            <w:vAlign w:val="center"/>
          </w:tcPr>
          <w:p>
            <w:r>
              <w:rPr>
                <w:rFonts w:ascii="Calibri" w:hAnsi="Calibri"/>
                <w:sz w:val="20"/>
              </w:rPr>
              <w:t>BFR / CA (jours)</w:t>
            </w:r>
          </w:p>
        </w:tc>
        <w:tc>
          <w:tcPr>
            <w:tcW w:type="dxa" w:w="4252"/>
            <w:tcBorders>
              <w:top w:val="single" w:sz="4" w:color="BFBFBF"/>
              <w:left w:val="single" w:sz="4" w:color="BFBFBF"/>
              <w:bottom w:val="single" w:sz="4" w:color="BFBFBF"/>
              <w:right w:val="single" w:sz="4" w:color="BFBFBF"/>
            </w:tcBorders>
            <w:vAlign w:val="center"/>
          </w:tcPr>
          <w:p>
            <w:r>
              <w:rPr>
                <w:rFonts w:ascii="Calibri" w:hAnsi="Calibri"/>
                <w:sz w:val="20"/>
              </w:rPr>
              <w:t>(Stocks + Créances - Fournisseurs) / CA × 365</w:t>
            </w:r>
          </w:p>
        </w:tc>
        <w:tc>
          <w:tcPr>
            <w:tcW w:type="dxa" w:w="2268"/>
            <w:tcBorders>
              <w:top w:val="single" w:sz="4" w:color="BFBFBF"/>
              <w:left w:val="single" w:sz="4" w:color="BFBFBF"/>
              <w:bottom w:val="single" w:sz="4" w:color="BFBFBF"/>
              <w:right w:val="single" w:sz="4" w:color="BFBFBF"/>
            </w:tcBorders>
            <w:vAlign w:val="center"/>
          </w:tcPr>
          <w:p>
            <w:r>
              <w:rPr>
                <w:rFonts w:ascii="Calibri" w:hAnsi="Calibri"/>
                <w:sz w:val="20"/>
              </w:rPr>
              <w:t>Indicateur clé</w:t>
            </w:r>
          </w:p>
        </w:tc>
      </w:tr>
      <w:tr>
        <w:tc>
          <w:tcPr>
            <w:tcW w:type="dxa" w:w="2551"/>
            <w:shd w:val="clear" w:color="auto" w:fill="F2F2F2"/>
            <w:tcBorders>
              <w:top w:val="single" w:sz="4" w:color="BFBFBF"/>
              <w:left w:val="single" w:sz="4" w:color="BFBFBF"/>
              <w:bottom w:val="single" w:sz="4" w:color="BFBFBF"/>
              <w:right w:val="single" w:sz="4" w:color="BFBFBF"/>
            </w:tcBorders>
            <w:vAlign w:val="center"/>
          </w:tcPr>
          <w:p>
            <w:r>
              <w:rPr>
                <w:rFonts w:ascii="Calibri" w:hAnsi="Calibri"/>
                <w:sz w:val="20"/>
              </w:rPr>
              <w:t>CA / m² (retail physique)</w:t>
            </w:r>
          </w:p>
        </w:tc>
        <w:tc>
          <w:tcPr>
            <w:tcW w:type="dxa" w:w="4252"/>
            <w:shd w:val="clear" w:color="auto" w:fill="F2F2F2"/>
            <w:tcBorders>
              <w:top w:val="single" w:sz="4" w:color="BFBFBF"/>
              <w:left w:val="single" w:sz="4" w:color="BFBFBF"/>
              <w:bottom w:val="single" w:sz="4" w:color="BFBFBF"/>
              <w:right w:val="single" w:sz="4" w:color="BFBFBF"/>
            </w:tcBorders>
            <w:vAlign w:val="center"/>
          </w:tcPr>
          <w:p>
            <w:r>
              <w:rPr>
                <w:rFonts w:ascii="Calibri" w:hAnsi="Calibri"/>
                <w:sz w:val="20"/>
              </w:rPr>
              <w:t>CA / surface commerciale m²</w:t>
            </w:r>
          </w:p>
        </w:tc>
        <w:tc>
          <w:tcPr>
            <w:tcW w:type="dxa" w:w="2268"/>
            <w:shd w:val="clear" w:color="auto" w:fill="F2F2F2"/>
            <w:tcBorders>
              <w:top w:val="single" w:sz="4" w:color="BFBFBF"/>
              <w:left w:val="single" w:sz="4" w:color="BFBFBF"/>
              <w:bottom w:val="single" w:sz="4" w:color="BFBFBF"/>
              <w:right w:val="single" w:sz="4" w:color="BFBFBF"/>
            </w:tcBorders>
            <w:vAlign w:val="center"/>
          </w:tcPr>
          <w:p>
            <w:r>
              <w:rPr>
                <w:rFonts w:ascii="Calibri" w:hAnsi="Calibri"/>
                <w:sz w:val="20"/>
              </w:rPr>
              <w:t>Productivité retail</w:t>
            </w:r>
          </w:p>
        </w:tc>
      </w:tr>
      <w:tr>
        <w:tc>
          <w:tcPr>
            <w:tcW w:type="dxa" w:w="2551"/>
            <w:tcBorders>
              <w:top w:val="single" w:sz="4" w:color="BFBFBF"/>
              <w:left w:val="single" w:sz="4" w:color="BFBFBF"/>
              <w:bottom w:val="single" w:sz="4" w:color="BFBFBF"/>
              <w:right w:val="single" w:sz="4" w:color="BFBFBF"/>
            </w:tcBorders>
            <w:vAlign w:val="center"/>
          </w:tcPr>
          <w:p>
            <w:r>
              <w:rPr>
                <w:rFonts w:ascii="Calibri" w:hAnsi="Calibri"/>
                <w:sz w:val="20"/>
              </w:rPr>
              <w:t>GMV / Take rate (marketplace)</w:t>
            </w:r>
          </w:p>
        </w:tc>
        <w:tc>
          <w:tcPr>
            <w:tcW w:type="dxa" w:w="4252"/>
            <w:tcBorders>
              <w:top w:val="single" w:sz="4" w:color="BFBFBF"/>
              <w:left w:val="single" w:sz="4" w:color="BFBFBF"/>
              <w:bottom w:val="single" w:sz="4" w:color="BFBFBF"/>
              <w:right w:val="single" w:sz="4" w:color="BFBFBF"/>
            </w:tcBorders>
            <w:vAlign w:val="center"/>
          </w:tcPr>
          <w:p>
            <w:r>
              <w:rPr>
                <w:rFonts w:ascii="Calibri" w:hAnsi="Calibri"/>
                <w:sz w:val="20"/>
              </w:rPr>
              <w:t>Volume × take rate</w:t>
            </w:r>
          </w:p>
        </w:tc>
        <w:tc>
          <w:tcPr>
            <w:tcW w:type="dxa" w:w="2268"/>
            <w:tcBorders>
              <w:top w:val="single" w:sz="4" w:color="BFBFBF"/>
              <w:left w:val="single" w:sz="4" w:color="BFBFBF"/>
              <w:bottom w:val="single" w:sz="4" w:color="BFBFBF"/>
              <w:right w:val="single" w:sz="4" w:color="BFBFBF"/>
            </w:tcBorders>
            <w:vAlign w:val="center"/>
          </w:tcPr>
          <w:p>
            <w:r>
              <w:rPr>
                <w:rFonts w:ascii="Calibri" w:hAnsi="Calibri"/>
                <w:sz w:val="20"/>
              </w:rPr>
              <w:t>Modèle plateforme</w:t>
            </w:r>
          </w:p>
        </w:tc>
      </w:tr>
      <w:tr>
        <w:tc>
          <w:tcPr>
            <w:tcW w:type="dxa" w:w="2551"/>
            <w:shd w:val="clear" w:color="auto" w:fill="F2F2F2"/>
            <w:tcBorders>
              <w:top w:val="single" w:sz="4" w:color="BFBFBF"/>
              <w:left w:val="single" w:sz="4" w:color="BFBFBF"/>
              <w:bottom w:val="single" w:sz="4" w:color="BFBFBF"/>
              <w:right w:val="single" w:sz="4" w:color="BFBFBF"/>
            </w:tcBorders>
            <w:vAlign w:val="center"/>
          </w:tcPr>
          <w:p>
            <w:r>
              <w:rPr>
                <w:rFonts w:ascii="Calibri" w:hAnsi="Calibri"/>
                <w:sz w:val="20"/>
              </w:rPr>
              <w:t>LTV / CAC (e-commerce)</w:t>
            </w:r>
          </w:p>
        </w:tc>
        <w:tc>
          <w:tcPr>
            <w:tcW w:type="dxa" w:w="4252"/>
            <w:shd w:val="clear" w:color="auto" w:fill="F2F2F2"/>
            <w:tcBorders>
              <w:top w:val="single" w:sz="4" w:color="BFBFBF"/>
              <w:left w:val="single" w:sz="4" w:color="BFBFBF"/>
              <w:bottom w:val="single" w:sz="4" w:color="BFBFBF"/>
              <w:right w:val="single" w:sz="4" w:color="BFBFBF"/>
            </w:tcBorders>
            <w:vAlign w:val="center"/>
          </w:tcPr>
          <w:p>
            <w:r>
              <w:rPr>
                <w:rFonts w:ascii="Calibri" w:hAnsi="Calibri"/>
                <w:sz w:val="20"/>
              </w:rPr>
              <w:t>(Marge × fréquence × durée) / coût acquisition</w:t>
            </w:r>
          </w:p>
        </w:tc>
        <w:tc>
          <w:tcPr>
            <w:tcW w:type="dxa" w:w="2268"/>
            <w:shd w:val="clear" w:color="auto" w:fill="F2F2F2"/>
            <w:tcBorders>
              <w:top w:val="single" w:sz="4" w:color="BFBFBF"/>
              <w:left w:val="single" w:sz="4" w:color="BFBFBF"/>
              <w:bottom w:val="single" w:sz="4" w:color="BFBFBF"/>
              <w:right w:val="single" w:sz="4" w:color="BFBFBF"/>
            </w:tcBorders>
            <w:vAlign w:val="center"/>
          </w:tcPr>
          <w:p>
            <w:r>
              <w:rPr>
                <w:rFonts w:ascii="Calibri" w:hAnsi="Calibri"/>
                <w:sz w:val="20"/>
              </w:rPr>
              <w:t>Unit economics</w:t>
            </w:r>
          </w:p>
        </w:tc>
      </w:tr>
    </w:tbl>
    <w:p>
      <w:pPr>
        <w:spacing w:after="120"/>
      </w:pPr>
    </w:p>
    <w:p>
      <w:pPr>
        <w:pStyle w:val="Heading3"/>
        <w:spacing w:before="180" w:after="120"/>
      </w:pPr>
      <w:r>
        <w:rPr>
          <w:rFonts w:ascii="Calibri" w:hAnsi="Calibri"/>
          <w:b/>
          <w:color w:val="0A2540"/>
          <w:sz w:val="26"/>
        </w:rPr>
        <w:t>KPIs et indicateurs sectoriels</w:t>
      </w:r>
    </w:p>
    <w:p>
      <w:pPr>
        <w:pStyle w:val="ListBullet"/>
        <w:spacing w:after="60"/>
        <w:ind w:left="340"/>
      </w:pPr>
      <w:r>
        <w:rPr>
          <w:rFonts w:ascii="Calibri" w:hAnsi="Calibri"/>
          <w:sz w:val="22"/>
        </w:rPr>
        <w:t>Activité : CA, croissance YoY, croissance comparable (LFL), parts de marché</w:t>
      </w:r>
    </w:p>
    <w:p>
      <w:pPr>
        <w:pStyle w:val="ListBullet"/>
        <w:spacing w:after="60"/>
        <w:ind w:left="340"/>
      </w:pPr>
      <w:r>
        <w:rPr>
          <w:rFonts w:ascii="Calibri" w:hAnsi="Calibri"/>
          <w:sz w:val="22"/>
        </w:rPr>
        <w:t>Marge : marge brute %, marge brute par famille / SKU / point de vente</w:t>
      </w:r>
    </w:p>
    <w:p>
      <w:pPr>
        <w:pStyle w:val="ListBullet"/>
        <w:spacing w:after="60"/>
        <w:ind w:left="340"/>
      </w:pPr>
      <w:r>
        <w:rPr>
          <w:rFonts w:ascii="Calibri" w:hAnsi="Calibri"/>
          <w:sz w:val="22"/>
        </w:rPr>
        <w:t>Opérations : rotation des stocks, taux de service, taux de rupture, taux de casse / démarque</w:t>
      </w:r>
    </w:p>
    <w:p>
      <w:pPr>
        <w:pStyle w:val="ListBullet"/>
        <w:spacing w:after="60"/>
        <w:ind w:left="340"/>
      </w:pPr>
      <w:r>
        <w:rPr>
          <w:rFonts w:ascii="Calibri" w:hAnsi="Calibri"/>
          <w:sz w:val="22"/>
        </w:rPr>
        <w:t>BFR : DSO, DPO, BFR/CA en jours, cycle d'exploitation</w:t>
      </w:r>
    </w:p>
    <w:p>
      <w:pPr>
        <w:pStyle w:val="ListBullet"/>
        <w:spacing w:after="60"/>
        <w:ind w:left="340"/>
      </w:pPr>
      <w:r>
        <w:rPr>
          <w:rFonts w:ascii="Calibri" w:hAnsi="Calibri"/>
          <w:sz w:val="22"/>
        </w:rPr>
        <w:t>Réseau (physique) : CA/m², CA/PV, CA/ETP</w:t>
      </w:r>
    </w:p>
    <w:p>
      <w:pPr>
        <w:pStyle w:val="ListBullet"/>
        <w:spacing w:after="60"/>
        <w:ind w:left="340"/>
      </w:pPr>
      <w:r>
        <w:rPr>
          <w:rFonts w:ascii="Calibri" w:hAnsi="Calibri"/>
          <w:sz w:val="22"/>
        </w:rPr>
        <w:t>E-commerce : visiteurs, taux de conversion, panier moyen, AOV, fréquence, churn, LTV/CAC</w:t>
      </w:r>
    </w:p>
    <w:p>
      <w:pPr>
        <w:pStyle w:val="ListBullet"/>
        <w:spacing w:after="60"/>
        <w:ind w:left="340"/>
      </w:pPr>
      <w:r>
        <w:rPr>
          <w:rFonts w:ascii="Calibri" w:hAnsi="Calibri"/>
          <w:sz w:val="22"/>
        </w:rPr>
        <w:t>Multi-canal : part online vs offline, click-and-collect ratio</w:t>
      </w:r>
    </w:p>
    <w:p>
      <w:pPr>
        <w:pStyle w:val="Heading3"/>
        <w:spacing w:before="180" w:after="120"/>
      </w:pPr>
      <w:r>
        <w:rPr>
          <w:rFonts w:ascii="Calibri" w:hAnsi="Calibri"/>
          <w:b/>
          <w:color w:val="0A2540"/>
          <w:sz w:val="26"/>
        </w:rPr>
        <w:t>Structure du template Commerce</w:t>
      </w:r>
    </w:p>
    <w:p>
      <w:pPr>
        <w:spacing w:before="0" w:after="120"/>
        <w:jc w:val="both"/>
      </w:pPr>
      <w:r>
        <w:rPr>
          <w:rFonts w:ascii="Calibri" w:hAnsi="Calibri"/>
          <w:b w:val="0"/>
          <w:i w:val="0"/>
          <w:color w:val="000000"/>
          <w:sz w:val="22"/>
        </w:rPr>
        <w:t>Le template Commerce comporte 13 feuilles : Notice, Hypothèses, Catalogue &amp; prix, Plan commercial (volume + saisonnalité), Achats &amp; stocks, Réseau (PV physiques) ou E-commerce (acquisition + conversion), BFR détaillé, Charges fixes &amp; RH, CAPEX &amp; amortissements, P&amp;L, Bilan, Trésorerie, KPIs Dashboard.</w:t>
      </w:r>
    </w:p>
    <w:p>
      <w:pPr>
        <w:pStyle w:val="Heading2"/>
        <w:spacing w:before="240" w:after="120"/>
      </w:pPr>
      <w:r>
        <w:rPr>
          <w:rFonts w:ascii="Calibri" w:hAnsi="Calibri"/>
          <w:b/>
          <w:color w:val="0A2540"/>
          <w:sz w:val="30"/>
        </w:rPr>
        <w:t>5.5 Industrie et Manufacture</w:t>
      </w:r>
    </w:p>
    <w:p>
      <w:pPr>
        <w:pStyle w:val="Heading3"/>
        <w:spacing w:before="180" w:after="120"/>
      </w:pPr>
      <w:r>
        <w:rPr>
          <w:rFonts w:ascii="Calibri" w:hAnsi="Calibri"/>
          <w:b/>
          <w:color w:val="0A2540"/>
          <w:sz w:val="26"/>
        </w:rPr>
        <w:t>Description du secteur</w:t>
      </w:r>
    </w:p>
    <w:p>
      <w:pPr>
        <w:spacing w:before="0" w:after="120"/>
        <w:jc w:val="both"/>
      </w:pPr>
      <w:r>
        <w:rPr>
          <w:rFonts w:ascii="Calibri" w:hAnsi="Calibri"/>
          <w:b w:val="0"/>
          <w:i w:val="0"/>
          <w:color w:val="000000"/>
          <w:sz w:val="22"/>
        </w:rPr>
        <w:t>L'industrie en zone UEMOA/CEMAC reste structurellement faible (≈10% du PIB en moyenne, contre 25-30% dans les économies industrialisées), mais elle est stratégique pour la souveraineté économique. Les filières dominantes sont l'agro-alimentaire (huileries, brasseries, biscuiteries, conserveries), la cimenterie et matériaux, la métallurgie / sidérurgie, le textile, la chimie et la pharmacie. La modélisation d'une entreprise industrielle exige une rigueur particulière sur la capacité, la productivité et la gestion des stocks multi-niveaux.</w:t>
      </w:r>
    </w:p>
    <w:p>
      <w:pPr>
        <w:pStyle w:val="Heading3"/>
        <w:spacing w:before="180" w:after="120"/>
      </w:pPr>
      <w:r>
        <w:rPr>
          <w:rFonts w:ascii="Calibri" w:hAnsi="Calibri"/>
          <w:b/>
          <w:color w:val="0A2540"/>
          <w:sz w:val="26"/>
        </w:rPr>
        <w:t>Sous-secteurs et variantes</w:t>
      </w:r>
    </w:p>
    <w:tbl>
      <w:tblPr>
        <w:tblW w:type="auto" w:w="0"/>
        <w:jc w:val="center"/>
        <w:tblLayout w:type="fixed"/>
        <w:tblLook w:firstColumn="1" w:firstRow="1" w:lastColumn="0" w:lastRow="0" w:noHBand="0" w:noVBand="1" w:val="04A0"/>
      </w:tblPr>
      <w:tblGrid>
        <w:gridCol w:w="2351"/>
        <w:gridCol w:w="2351"/>
        <w:gridCol w:w="2351"/>
        <w:gridCol w:w="2351"/>
      </w:tblGrid>
      <w:tr>
        <w:tc>
          <w:tcPr>
            <w:tcW w:type="dxa" w:w="2551"/>
            <w:shd w:val="clear" w:color="auto" w:fill="0A2540"/>
            <w:tcBorders>
              <w:top w:val="single" w:sz="4" w:color="BFBFBF"/>
              <w:left w:val="single" w:sz="4" w:color="BFBFBF"/>
              <w:bottom w:val="single" w:sz="4" w:color="BFBFBF"/>
              <w:right w:val="single" w:sz="4" w:color="BFBFBF"/>
            </w:tcBorders>
            <w:vAlign w:val="center"/>
          </w:tcPr>
          <w:p>
            <w:pPr>
              <w:jc w:val="center"/>
            </w:pPr>
            <w:r>
              <w:rPr>
                <w:rFonts w:ascii="Calibri" w:hAnsi="Calibri"/>
                <w:b/>
                <w:color w:val="FFFFFF"/>
                <w:sz w:val="20"/>
              </w:rPr>
              <w:t>Sous-secteur</w:t>
            </w:r>
          </w:p>
        </w:tc>
        <w:tc>
          <w:tcPr>
            <w:tcW w:type="dxa" w:w="1984"/>
            <w:shd w:val="clear" w:color="auto" w:fill="0A2540"/>
            <w:tcBorders>
              <w:top w:val="single" w:sz="4" w:color="BFBFBF"/>
              <w:left w:val="single" w:sz="4" w:color="BFBFBF"/>
              <w:bottom w:val="single" w:sz="4" w:color="BFBFBF"/>
              <w:right w:val="single" w:sz="4" w:color="BFBFBF"/>
            </w:tcBorders>
            <w:vAlign w:val="center"/>
          </w:tcPr>
          <w:p>
            <w:pPr>
              <w:jc w:val="center"/>
            </w:pPr>
            <w:r>
              <w:rPr>
                <w:rFonts w:ascii="Calibri" w:hAnsi="Calibri"/>
                <w:b/>
                <w:color w:val="FFFFFF"/>
                <w:sz w:val="20"/>
              </w:rPr>
              <w:t>Intensité capitalistique</w:t>
            </w:r>
          </w:p>
        </w:tc>
        <w:tc>
          <w:tcPr>
            <w:tcW w:type="dxa" w:w="2268"/>
            <w:shd w:val="clear" w:color="auto" w:fill="0A2540"/>
            <w:tcBorders>
              <w:top w:val="single" w:sz="4" w:color="BFBFBF"/>
              <w:left w:val="single" w:sz="4" w:color="BFBFBF"/>
              <w:bottom w:val="single" w:sz="4" w:color="BFBFBF"/>
              <w:right w:val="single" w:sz="4" w:color="BFBFBF"/>
            </w:tcBorders>
            <w:vAlign w:val="center"/>
          </w:tcPr>
          <w:p>
            <w:pPr>
              <w:jc w:val="center"/>
            </w:pPr>
            <w:r>
              <w:rPr>
                <w:rFonts w:ascii="Calibri" w:hAnsi="Calibri"/>
                <w:b/>
                <w:color w:val="FFFFFF"/>
                <w:sz w:val="20"/>
              </w:rPr>
              <w:t>Marge EBITDA typique</w:t>
            </w:r>
          </w:p>
        </w:tc>
        <w:tc>
          <w:tcPr>
            <w:tcW w:type="dxa" w:w="1984"/>
            <w:shd w:val="clear" w:color="auto" w:fill="0A2540"/>
            <w:tcBorders>
              <w:top w:val="single" w:sz="4" w:color="BFBFBF"/>
              <w:left w:val="single" w:sz="4" w:color="BFBFBF"/>
              <w:bottom w:val="single" w:sz="4" w:color="BFBFBF"/>
              <w:right w:val="single" w:sz="4" w:color="BFBFBF"/>
            </w:tcBorders>
            <w:vAlign w:val="center"/>
          </w:tcPr>
          <w:p>
            <w:pPr>
              <w:jc w:val="center"/>
            </w:pPr>
            <w:r>
              <w:rPr>
                <w:rFonts w:ascii="Calibri" w:hAnsi="Calibri"/>
                <w:b/>
                <w:color w:val="FFFFFF"/>
                <w:sz w:val="20"/>
              </w:rPr>
              <w:t>Rotation actifs</w:t>
            </w:r>
          </w:p>
        </w:tc>
      </w:tr>
      <w:tr>
        <w:tc>
          <w:tcPr>
            <w:tcW w:type="dxa" w:w="2551"/>
            <w:tcBorders>
              <w:top w:val="single" w:sz="4" w:color="BFBFBF"/>
              <w:left w:val="single" w:sz="4" w:color="BFBFBF"/>
              <w:bottom w:val="single" w:sz="4" w:color="BFBFBF"/>
              <w:right w:val="single" w:sz="4" w:color="BFBFBF"/>
            </w:tcBorders>
            <w:vAlign w:val="center"/>
          </w:tcPr>
          <w:p>
            <w:r>
              <w:rPr>
                <w:rFonts w:ascii="Calibri" w:hAnsi="Calibri"/>
                <w:sz w:val="20"/>
              </w:rPr>
              <w:t>Agro-alimentaire (transformation)</w:t>
            </w:r>
          </w:p>
        </w:tc>
        <w:tc>
          <w:tcPr>
            <w:tcW w:type="dxa" w:w="1984"/>
            <w:tcBorders>
              <w:top w:val="single" w:sz="4" w:color="BFBFBF"/>
              <w:left w:val="single" w:sz="4" w:color="BFBFBF"/>
              <w:bottom w:val="single" w:sz="4" w:color="BFBFBF"/>
              <w:right w:val="single" w:sz="4" w:color="BFBFBF"/>
            </w:tcBorders>
            <w:vAlign w:val="center"/>
          </w:tcPr>
          <w:p>
            <w:r>
              <w:rPr>
                <w:rFonts w:ascii="Calibri" w:hAnsi="Calibri"/>
                <w:sz w:val="20"/>
              </w:rPr>
              <w:t>Moyenne-élevée</w:t>
            </w:r>
          </w:p>
        </w:tc>
        <w:tc>
          <w:tcPr>
            <w:tcW w:type="dxa" w:w="2268"/>
            <w:tcBorders>
              <w:top w:val="single" w:sz="4" w:color="BFBFBF"/>
              <w:left w:val="single" w:sz="4" w:color="BFBFBF"/>
              <w:bottom w:val="single" w:sz="4" w:color="BFBFBF"/>
              <w:right w:val="single" w:sz="4" w:color="BFBFBF"/>
            </w:tcBorders>
            <w:vAlign w:val="center"/>
          </w:tcPr>
          <w:p>
            <w:r>
              <w:rPr>
                <w:rFonts w:ascii="Calibri" w:hAnsi="Calibri"/>
                <w:sz w:val="20"/>
              </w:rPr>
              <w:t>10-20%</w:t>
            </w:r>
          </w:p>
        </w:tc>
        <w:tc>
          <w:tcPr>
            <w:tcW w:type="dxa" w:w="1984"/>
            <w:tcBorders>
              <w:top w:val="single" w:sz="4" w:color="BFBFBF"/>
              <w:left w:val="single" w:sz="4" w:color="BFBFBF"/>
              <w:bottom w:val="single" w:sz="4" w:color="BFBFBF"/>
              <w:right w:val="single" w:sz="4" w:color="BFBFBF"/>
            </w:tcBorders>
            <w:vAlign w:val="center"/>
          </w:tcPr>
          <w:p>
            <w:r>
              <w:rPr>
                <w:rFonts w:ascii="Calibri" w:hAnsi="Calibri"/>
                <w:sz w:val="20"/>
              </w:rPr>
              <w:t>Élevée</w:t>
            </w:r>
          </w:p>
        </w:tc>
      </w:tr>
      <w:tr>
        <w:tc>
          <w:tcPr>
            <w:tcW w:type="dxa" w:w="2551"/>
            <w:shd w:val="clear" w:color="auto" w:fill="F2F2F2"/>
            <w:tcBorders>
              <w:top w:val="single" w:sz="4" w:color="BFBFBF"/>
              <w:left w:val="single" w:sz="4" w:color="BFBFBF"/>
              <w:bottom w:val="single" w:sz="4" w:color="BFBFBF"/>
              <w:right w:val="single" w:sz="4" w:color="BFBFBF"/>
            </w:tcBorders>
            <w:vAlign w:val="center"/>
          </w:tcPr>
          <w:p>
            <w:r>
              <w:rPr>
                <w:rFonts w:ascii="Calibri" w:hAnsi="Calibri"/>
                <w:sz w:val="20"/>
              </w:rPr>
              <w:t>Brasserie / boissons</w:t>
            </w:r>
          </w:p>
        </w:tc>
        <w:tc>
          <w:tcPr>
            <w:tcW w:type="dxa" w:w="1984"/>
            <w:shd w:val="clear" w:color="auto" w:fill="F2F2F2"/>
            <w:tcBorders>
              <w:top w:val="single" w:sz="4" w:color="BFBFBF"/>
              <w:left w:val="single" w:sz="4" w:color="BFBFBF"/>
              <w:bottom w:val="single" w:sz="4" w:color="BFBFBF"/>
              <w:right w:val="single" w:sz="4" w:color="BFBFBF"/>
            </w:tcBorders>
            <w:vAlign w:val="center"/>
          </w:tcPr>
          <w:p>
            <w:r>
              <w:rPr>
                <w:rFonts w:ascii="Calibri" w:hAnsi="Calibri"/>
                <w:sz w:val="20"/>
              </w:rPr>
              <w:t>Élevée</w:t>
            </w:r>
          </w:p>
        </w:tc>
        <w:tc>
          <w:tcPr>
            <w:tcW w:type="dxa" w:w="2268"/>
            <w:shd w:val="clear" w:color="auto" w:fill="F2F2F2"/>
            <w:tcBorders>
              <w:top w:val="single" w:sz="4" w:color="BFBFBF"/>
              <w:left w:val="single" w:sz="4" w:color="BFBFBF"/>
              <w:bottom w:val="single" w:sz="4" w:color="BFBFBF"/>
              <w:right w:val="single" w:sz="4" w:color="BFBFBF"/>
            </w:tcBorders>
            <w:vAlign w:val="center"/>
          </w:tcPr>
          <w:p>
            <w:r>
              <w:rPr>
                <w:rFonts w:ascii="Calibri" w:hAnsi="Calibri"/>
                <w:sz w:val="20"/>
              </w:rPr>
              <w:t>20-30%</w:t>
            </w:r>
          </w:p>
        </w:tc>
        <w:tc>
          <w:tcPr>
            <w:tcW w:type="dxa" w:w="1984"/>
            <w:shd w:val="clear" w:color="auto" w:fill="F2F2F2"/>
            <w:tcBorders>
              <w:top w:val="single" w:sz="4" w:color="BFBFBF"/>
              <w:left w:val="single" w:sz="4" w:color="BFBFBF"/>
              <w:bottom w:val="single" w:sz="4" w:color="BFBFBF"/>
              <w:right w:val="single" w:sz="4" w:color="BFBFBF"/>
            </w:tcBorders>
            <w:vAlign w:val="center"/>
          </w:tcPr>
          <w:p>
            <w:r>
              <w:rPr>
                <w:rFonts w:ascii="Calibri" w:hAnsi="Calibri"/>
                <w:sz w:val="20"/>
              </w:rPr>
              <w:t>Moyenne</w:t>
            </w:r>
          </w:p>
        </w:tc>
      </w:tr>
      <w:tr>
        <w:tc>
          <w:tcPr>
            <w:tcW w:type="dxa" w:w="2551"/>
            <w:tcBorders>
              <w:top w:val="single" w:sz="4" w:color="BFBFBF"/>
              <w:left w:val="single" w:sz="4" w:color="BFBFBF"/>
              <w:bottom w:val="single" w:sz="4" w:color="BFBFBF"/>
              <w:right w:val="single" w:sz="4" w:color="BFBFBF"/>
            </w:tcBorders>
            <w:vAlign w:val="center"/>
          </w:tcPr>
          <w:p>
            <w:r>
              <w:rPr>
                <w:rFonts w:ascii="Calibri" w:hAnsi="Calibri"/>
                <w:sz w:val="20"/>
              </w:rPr>
              <w:t>Cimenterie &amp; matériaux</w:t>
            </w:r>
          </w:p>
        </w:tc>
        <w:tc>
          <w:tcPr>
            <w:tcW w:type="dxa" w:w="1984"/>
            <w:tcBorders>
              <w:top w:val="single" w:sz="4" w:color="BFBFBF"/>
              <w:left w:val="single" w:sz="4" w:color="BFBFBF"/>
              <w:bottom w:val="single" w:sz="4" w:color="BFBFBF"/>
              <w:right w:val="single" w:sz="4" w:color="BFBFBF"/>
            </w:tcBorders>
            <w:vAlign w:val="center"/>
          </w:tcPr>
          <w:p>
            <w:r>
              <w:rPr>
                <w:rFonts w:ascii="Calibri" w:hAnsi="Calibri"/>
                <w:sz w:val="20"/>
              </w:rPr>
              <w:t>Très élevée</w:t>
            </w:r>
          </w:p>
        </w:tc>
        <w:tc>
          <w:tcPr>
            <w:tcW w:type="dxa" w:w="2268"/>
            <w:tcBorders>
              <w:top w:val="single" w:sz="4" w:color="BFBFBF"/>
              <w:left w:val="single" w:sz="4" w:color="BFBFBF"/>
              <w:bottom w:val="single" w:sz="4" w:color="BFBFBF"/>
              <w:right w:val="single" w:sz="4" w:color="BFBFBF"/>
            </w:tcBorders>
            <w:vAlign w:val="center"/>
          </w:tcPr>
          <w:p>
            <w:r>
              <w:rPr>
                <w:rFonts w:ascii="Calibri" w:hAnsi="Calibri"/>
                <w:sz w:val="20"/>
              </w:rPr>
              <w:t>20-35%</w:t>
            </w:r>
          </w:p>
        </w:tc>
        <w:tc>
          <w:tcPr>
            <w:tcW w:type="dxa" w:w="1984"/>
            <w:tcBorders>
              <w:top w:val="single" w:sz="4" w:color="BFBFBF"/>
              <w:left w:val="single" w:sz="4" w:color="BFBFBF"/>
              <w:bottom w:val="single" w:sz="4" w:color="BFBFBF"/>
              <w:right w:val="single" w:sz="4" w:color="BFBFBF"/>
            </w:tcBorders>
            <w:vAlign w:val="center"/>
          </w:tcPr>
          <w:p>
            <w:r>
              <w:rPr>
                <w:rFonts w:ascii="Calibri" w:hAnsi="Calibri"/>
                <w:sz w:val="20"/>
              </w:rPr>
              <w:t>Faible</w:t>
            </w:r>
          </w:p>
        </w:tc>
      </w:tr>
      <w:tr>
        <w:tc>
          <w:tcPr>
            <w:tcW w:type="dxa" w:w="2551"/>
            <w:shd w:val="clear" w:color="auto" w:fill="F2F2F2"/>
            <w:tcBorders>
              <w:top w:val="single" w:sz="4" w:color="BFBFBF"/>
              <w:left w:val="single" w:sz="4" w:color="BFBFBF"/>
              <w:bottom w:val="single" w:sz="4" w:color="BFBFBF"/>
              <w:right w:val="single" w:sz="4" w:color="BFBFBF"/>
            </w:tcBorders>
            <w:vAlign w:val="center"/>
          </w:tcPr>
          <w:p>
            <w:r>
              <w:rPr>
                <w:rFonts w:ascii="Calibri" w:hAnsi="Calibri"/>
                <w:sz w:val="20"/>
              </w:rPr>
              <w:t>Sidérurgie / métallurgie</w:t>
            </w:r>
          </w:p>
        </w:tc>
        <w:tc>
          <w:tcPr>
            <w:tcW w:type="dxa" w:w="1984"/>
            <w:shd w:val="clear" w:color="auto" w:fill="F2F2F2"/>
            <w:tcBorders>
              <w:top w:val="single" w:sz="4" w:color="BFBFBF"/>
              <w:left w:val="single" w:sz="4" w:color="BFBFBF"/>
              <w:bottom w:val="single" w:sz="4" w:color="BFBFBF"/>
              <w:right w:val="single" w:sz="4" w:color="BFBFBF"/>
            </w:tcBorders>
            <w:vAlign w:val="center"/>
          </w:tcPr>
          <w:p>
            <w:r>
              <w:rPr>
                <w:rFonts w:ascii="Calibri" w:hAnsi="Calibri"/>
                <w:sz w:val="20"/>
              </w:rPr>
              <w:t>Très élevée</w:t>
            </w:r>
          </w:p>
        </w:tc>
        <w:tc>
          <w:tcPr>
            <w:tcW w:type="dxa" w:w="2268"/>
            <w:shd w:val="clear" w:color="auto" w:fill="F2F2F2"/>
            <w:tcBorders>
              <w:top w:val="single" w:sz="4" w:color="BFBFBF"/>
              <w:left w:val="single" w:sz="4" w:color="BFBFBF"/>
              <w:bottom w:val="single" w:sz="4" w:color="BFBFBF"/>
              <w:right w:val="single" w:sz="4" w:color="BFBFBF"/>
            </w:tcBorders>
            <w:vAlign w:val="center"/>
          </w:tcPr>
          <w:p>
            <w:r>
              <w:rPr>
                <w:rFonts w:ascii="Calibri" w:hAnsi="Calibri"/>
                <w:sz w:val="20"/>
              </w:rPr>
              <w:t>8-18%</w:t>
            </w:r>
          </w:p>
        </w:tc>
        <w:tc>
          <w:tcPr>
            <w:tcW w:type="dxa" w:w="1984"/>
            <w:shd w:val="clear" w:color="auto" w:fill="F2F2F2"/>
            <w:tcBorders>
              <w:top w:val="single" w:sz="4" w:color="BFBFBF"/>
              <w:left w:val="single" w:sz="4" w:color="BFBFBF"/>
              <w:bottom w:val="single" w:sz="4" w:color="BFBFBF"/>
              <w:right w:val="single" w:sz="4" w:color="BFBFBF"/>
            </w:tcBorders>
            <w:vAlign w:val="center"/>
          </w:tcPr>
          <w:p>
            <w:r>
              <w:rPr>
                <w:rFonts w:ascii="Calibri" w:hAnsi="Calibri"/>
                <w:sz w:val="20"/>
              </w:rPr>
              <w:t>Faible</w:t>
            </w:r>
          </w:p>
        </w:tc>
      </w:tr>
      <w:tr>
        <w:tc>
          <w:tcPr>
            <w:tcW w:type="dxa" w:w="2551"/>
            <w:tcBorders>
              <w:top w:val="single" w:sz="4" w:color="BFBFBF"/>
              <w:left w:val="single" w:sz="4" w:color="BFBFBF"/>
              <w:bottom w:val="single" w:sz="4" w:color="BFBFBF"/>
              <w:right w:val="single" w:sz="4" w:color="BFBFBF"/>
            </w:tcBorders>
            <w:vAlign w:val="center"/>
          </w:tcPr>
          <w:p>
            <w:r>
              <w:rPr>
                <w:rFonts w:ascii="Calibri" w:hAnsi="Calibri"/>
                <w:sz w:val="20"/>
              </w:rPr>
              <w:t>Textile / confection</w:t>
            </w:r>
          </w:p>
        </w:tc>
        <w:tc>
          <w:tcPr>
            <w:tcW w:type="dxa" w:w="1984"/>
            <w:tcBorders>
              <w:top w:val="single" w:sz="4" w:color="BFBFBF"/>
              <w:left w:val="single" w:sz="4" w:color="BFBFBF"/>
              <w:bottom w:val="single" w:sz="4" w:color="BFBFBF"/>
              <w:right w:val="single" w:sz="4" w:color="BFBFBF"/>
            </w:tcBorders>
            <w:vAlign w:val="center"/>
          </w:tcPr>
          <w:p>
            <w:r>
              <w:rPr>
                <w:rFonts w:ascii="Calibri" w:hAnsi="Calibri"/>
                <w:sz w:val="20"/>
              </w:rPr>
              <w:t>Moyenne</w:t>
            </w:r>
          </w:p>
        </w:tc>
        <w:tc>
          <w:tcPr>
            <w:tcW w:type="dxa" w:w="2268"/>
            <w:tcBorders>
              <w:top w:val="single" w:sz="4" w:color="BFBFBF"/>
              <w:left w:val="single" w:sz="4" w:color="BFBFBF"/>
              <w:bottom w:val="single" w:sz="4" w:color="BFBFBF"/>
              <w:right w:val="single" w:sz="4" w:color="BFBFBF"/>
            </w:tcBorders>
            <w:vAlign w:val="center"/>
          </w:tcPr>
          <w:p>
            <w:r>
              <w:rPr>
                <w:rFonts w:ascii="Calibri" w:hAnsi="Calibri"/>
                <w:sz w:val="20"/>
              </w:rPr>
              <w:t>8-15%</w:t>
            </w:r>
          </w:p>
        </w:tc>
        <w:tc>
          <w:tcPr>
            <w:tcW w:type="dxa" w:w="1984"/>
            <w:tcBorders>
              <w:top w:val="single" w:sz="4" w:color="BFBFBF"/>
              <w:left w:val="single" w:sz="4" w:color="BFBFBF"/>
              <w:bottom w:val="single" w:sz="4" w:color="BFBFBF"/>
              <w:right w:val="single" w:sz="4" w:color="BFBFBF"/>
            </w:tcBorders>
            <w:vAlign w:val="center"/>
          </w:tcPr>
          <w:p>
            <w:r>
              <w:rPr>
                <w:rFonts w:ascii="Calibri" w:hAnsi="Calibri"/>
                <w:sz w:val="20"/>
              </w:rPr>
              <w:t>Moyenne-élevée</w:t>
            </w:r>
          </w:p>
        </w:tc>
      </w:tr>
      <w:tr>
        <w:tc>
          <w:tcPr>
            <w:tcW w:type="dxa" w:w="2551"/>
            <w:shd w:val="clear" w:color="auto" w:fill="F2F2F2"/>
            <w:tcBorders>
              <w:top w:val="single" w:sz="4" w:color="BFBFBF"/>
              <w:left w:val="single" w:sz="4" w:color="BFBFBF"/>
              <w:bottom w:val="single" w:sz="4" w:color="BFBFBF"/>
              <w:right w:val="single" w:sz="4" w:color="BFBFBF"/>
            </w:tcBorders>
            <w:vAlign w:val="center"/>
          </w:tcPr>
          <w:p>
            <w:r>
              <w:rPr>
                <w:rFonts w:ascii="Calibri" w:hAnsi="Calibri"/>
                <w:sz w:val="20"/>
              </w:rPr>
              <w:t>Chimie / pharmacie</w:t>
            </w:r>
          </w:p>
        </w:tc>
        <w:tc>
          <w:tcPr>
            <w:tcW w:type="dxa" w:w="1984"/>
            <w:shd w:val="clear" w:color="auto" w:fill="F2F2F2"/>
            <w:tcBorders>
              <w:top w:val="single" w:sz="4" w:color="BFBFBF"/>
              <w:left w:val="single" w:sz="4" w:color="BFBFBF"/>
              <w:bottom w:val="single" w:sz="4" w:color="BFBFBF"/>
              <w:right w:val="single" w:sz="4" w:color="BFBFBF"/>
            </w:tcBorders>
            <w:vAlign w:val="center"/>
          </w:tcPr>
          <w:p>
            <w:r>
              <w:rPr>
                <w:rFonts w:ascii="Calibri" w:hAnsi="Calibri"/>
                <w:sz w:val="20"/>
              </w:rPr>
              <w:t>Élevée</w:t>
            </w:r>
          </w:p>
        </w:tc>
        <w:tc>
          <w:tcPr>
            <w:tcW w:type="dxa" w:w="2268"/>
            <w:shd w:val="clear" w:color="auto" w:fill="F2F2F2"/>
            <w:tcBorders>
              <w:top w:val="single" w:sz="4" w:color="BFBFBF"/>
              <w:left w:val="single" w:sz="4" w:color="BFBFBF"/>
              <w:bottom w:val="single" w:sz="4" w:color="BFBFBF"/>
              <w:right w:val="single" w:sz="4" w:color="BFBFBF"/>
            </w:tcBorders>
            <w:vAlign w:val="center"/>
          </w:tcPr>
          <w:p>
            <w:r>
              <w:rPr>
                <w:rFonts w:ascii="Calibri" w:hAnsi="Calibri"/>
                <w:sz w:val="20"/>
              </w:rPr>
              <w:t>15-25%</w:t>
            </w:r>
          </w:p>
        </w:tc>
        <w:tc>
          <w:tcPr>
            <w:tcW w:type="dxa" w:w="1984"/>
            <w:shd w:val="clear" w:color="auto" w:fill="F2F2F2"/>
            <w:tcBorders>
              <w:top w:val="single" w:sz="4" w:color="BFBFBF"/>
              <w:left w:val="single" w:sz="4" w:color="BFBFBF"/>
              <w:bottom w:val="single" w:sz="4" w:color="BFBFBF"/>
              <w:right w:val="single" w:sz="4" w:color="BFBFBF"/>
            </w:tcBorders>
            <w:vAlign w:val="center"/>
          </w:tcPr>
          <w:p>
            <w:r>
              <w:rPr>
                <w:rFonts w:ascii="Calibri" w:hAnsi="Calibri"/>
                <w:sz w:val="20"/>
              </w:rPr>
              <w:t>Moyenne</w:t>
            </w:r>
          </w:p>
        </w:tc>
      </w:tr>
      <w:tr>
        <w:tc>
          <w:tcPr>
            <w:tcW w:type="dxa" w:w="2551"/>
            <w:tcBorders>
              <w:top w:val="single" w:sz="4" w:color="BFBFBF"/>
              <w:left w:val="single" w:sz="4" w:color="BFBFBF"/>
              <w:bottom w:val="single" w:sz="4" w:color="BFBFBF"/>
              <w:right w:val="single" w:sz="4" w:color="BFBFBF"/>
            </w:tcBorders>
            <w:vAlign w:val="center"/>
          </w:tcPr>
          <w:p>
            <w:r>
              <w:rPr>
                <w:rFonts w:ascii="Calibri" w:hAnsi="Calibri"/>
                <w:sz w:val="20"/>
              </w:rPr>
              <w:t>Sous-traitance industrielle</w:t>
            </w:r>
          </w:p>
        </w:tc>
        <w:tc>
          <w:tcPr>
            <w:tcW w:type="dxa" w:w="1984"/>
            <w:tcBorders>
              <w:top w:val="single" w:sz="4" w:color="BFBFBF"/>
              <w:left w:val="single" w:sz="4" w:color="BFBFBF"/>
              <w:bottom w:val="single" w:sz="4" w:color="BFBFBF"/>
              <w:right w:val="single" w:sz="4" w:color="BFBFBF"/>
            </w:tcBorders>
            <w:vAlign w:val="center"/>
          </w:tcPr>
          <w:p>
            <w:r>
              <w:rPr>
                <w:rFonts w:ascii="Calibri" w:hAnsi="Calibri"/>
                <w:sz w:val="20"/>
              </w:rPr>
              <w:t>Faible-moyenne</w:t>
            </w:r>
          </w:p>
        </w:tc>
        <w:tc>
          <w:tcPr>
            <w:tcW w:type="dxa" w:w="2268"/>
            <w:tcBorders>
              <w:top w:val="single" w:sz="4" w:color="BFBFBF"/>
              <w:left w:val="single" w:sz="4" w:color="BFBFBF"/>
              <w:bottom w:val="single" w:sz="4" w:color="BFBFBF"/>
              <w:right w:val="single" w:sz="4" w:color="BFBFBF"/>
            </w:tcBorders>
            <w:vAlign w:val="center"/>
          </w:tcPr>
          <w:p>
            <w:r>
              <w:rPr>
                <w:rFonts w:ascii="Calibri" w:hAnsi="Calibri"/>
                <w:sz w:val="20"/>
              </w:rPr>
              <w:t>5-12%</w:t>
            </w:r>
          </w:p>
        </w:tc>
        <w:tc>
          <w:tcPr>
            <w:tcW w:type="dxa" w:w="1984"/>
            <w:tcBorders>
              <w:top w:val="single" w:sz="4" w:color="BFBFBF"/>
              <w:left w:val="single" w:sz="4" w:color="BFBFBF"/>
              <w:bottom w:val="single" w:sz="4" w:color="BFBFBF"/>
              <w:right w:val="single" w:sz="4" w:color="BFBFBF"/>
            </w:tcBorders>
            <w:vAlign w:val="center"/>
          </w:tcPr>
          <w:p>
            <w:r>
              <w:rPr>
                <w:rFonts w:ascii="Calibri" w:hAnsi="Calibri"/>
                <w:sz w:val="20"/>
              </w:rPr>
              <w:t>Élevée</w:t>
            </w:r>
          </w:p>
        </w:tc>
      </w:tr>
    </w:tbl>
    <w:p>
      <w:pPr>
        <w:spacing w:after="120"/>
      </w:pPr>
    </w:p>
    <w:p>
      <w:pPr>
        <w:pStyle w:val="Heading3"/>
        <w:spacing w:before="180" w:after="120"/>
      </w:pPr>
      <w:r>
        <w:rPr>
          <w:rFonts w:ascii="Calibri" w:hAnsi="Calibri"/>
          <w:b/>
          <w:color w:val="0A2540"/>
          <w:sz w:val="26"/>
        </w:rPr>
        <w:t>Spécificités fiscales et réglementaires</w:t>
      </w:r>
    </w:p>
    <w:p>
      <w:pPr>
        <w:pStyle w:val="ListBullet"/>
        <w:spacing w:after="60"/>
        <w:ind w:left="340"/>
      </w:pPr>
      <w:r>
        <w:rPr>
          <w:rFonts w:ascii="Calibri" w:hAnsi="Calibri"/>
          <w:sz w:val="22"/>
        </w:rPr>
        <w:t>Régimes d'incitation à l'investissement : codes des investissements UEMOA/CEMAC (exonération IS de 5 à 10 ans, exonération droits de douane sur équipements)</w:t>
      </w:r>
    </w:p>
    <w:p>
      <w:pPr>
        <w:pStyle w:val="ListBullet"/>
        <w:spacing w:after="60"/>
        <w:ind w:left="340"/>
      </w:pPr>
      <w:r>
        <w:rPr>
          <w:rFonts w:ascii="Calibri" w:hAnsi="Calibri"/>
          <w:sz w:val="22"/>
        </w:rPr>
        <w:t>Zones économiques spéciales (ZES) : régimes fiscaux préférentiels, exonérations TVA et IS</w:t>
      </w:r>
    </w:p>
    <w:p>
      <w:pPr>
        <w:pStyle w:val="ListBullet"/>
        <w:spacing w:after="60"/>
        <w:ind w:left="340"/>
      </w:pPr>
      <w:r>
        <w:rPr>
          <w:rFonts w:ascii="Calibri" w:hAnsi="Calibri"/>
          <w:sz w:val="22"/>
        </w:rPr>
        <w:t>Régime des produits transformés localement : taux préférentiels droits de douane</w:t>
      </w:r>
    </w:p>
    <w:p>
      <w:pPr>
        <w:pStyle w:val="ListBullet"/>
        <w:spacing w:after="60"/>
        <w:ind w:left="340"/>
      </w:pPr>
      <w:r>
        <w:rPr>
          <w:rFonts w:ascii="Calibri" w:hAnsi="Calibri"/>
          <w:sz w:val="22"/>
        </w:rPr>
        <w:t>Régime des matières premières importées : exonération ou taux réduits pour activités productives</w:t>
      </w:r>
    </w:p>
    <w:p>
      <w:pPr>
        <w:pStyle w:val="ListBullet"/>
        <w:spacing w:after="60"/>
        <w:ind w:left="340"/>
      </w:pPr>
      <w:r>
        <w:rPr>
          <w:rFonts w:ascii="Calibri" w:hAnsi="Calibri"/>
          <w:sz w:val="22"/>
        </w:rPr>
        <w:t>Normes environnementales : étude d'impact, taxes pollution selon pays</w:t>
      </w:r>
    </w:p>
    <w:p>
      <w:pPr>
        <w:pStyle w:val="ListBullet"/>
        <w:spacing w:after="60"/>
        <w:ind w:left="340"/>
      </w:pPr>
      <w:r>
        <w:rPr>
          <w:rFonts w:ascii="Calibri" w:hAnsi="Calibri"/>
          <w:sz w:val="22"/>
        </w:rPr>
        <w:t>Normes qualité / certification : ISO 9001, HACCP, normes sectorielles, traçabilité</w:t>
      </w:r>
    </w:p>
    <w:p>
      <w:pPr>
        <w:pStyle w:val="ListBullet"/>
        <w:spacing w:after="60"/>
        <w:ind w:left="340"/>
      </w:pPr>
      <w:r>
        <w:rPr>
          <w:rFonts w:ascii="Calibri" w:hAnsi="Calibri"/>
          <w:sz w:val="22"/>
        </w:rPr>
        <w:t>Taxes spécifiques : ICA (Impôt Communal Additionnel), taxes parafiscales sectorielles</w:t>
      </w:r>
    </w:p>
    <w:p>
      <w:pPr>
        <w:pStyle w:val="Heading3"/>
        <w:spacing w:before="180" w:after="120"/>
      </w:pPr>
      <w:r>
        <w:rPr>
          <w:rFonts w:ascii="Calibri" w:hAnsi="Calibri"/>
          <w:b/>
          <w:color w:val="0A2540"/>
          <w:sz w:val="26"/>
        </w:rPr>
        <w:t>Modèle de revenus et structure de coûts</w:t>
      </w:r>
    </w:p>
    <w:p>
      <w:pPr>
        <w:spacing w:before="0" w:after="120"/>
        <w:jc w:val="both"/>
      </w:pPr>
      <w:r>
        <w:rPr>
          <w:rFonts w:ascii="Calibri" w:hAnsi="Calibri"/>
          <w:b w:val="0"/>
          <w:i w:val="0"/>
          <w:color w:val="000000"/>
          <w:sz w:val="22"/>
        </w:rPr>
        <w:t>Le P&amp;L industriel se distingue par la séparation rigoureuse entre coûts directs (variables avec la production) et coûts fixes (structure). Le coût de revient unitaire est central.</w:t>
      </w:r>
    </w:p>
    <w:tbl>
      <w:tblPr>
        <w:tblW w:type="auto" w:w="0"/>
        <w:jc w:val="center"/>
        <w:tblLayout w:type="fixed"/>
        <w:tblLook w:firstColumn="1" w:firstRow="1" w:lastColumn="0" w:lastRow="0" w:noHBand="0" w:noVBand="1" w:val="04A0"/>
      </w:tblPr>
      <w:tblGrid>
        <w:gridCol w:w="3135"/>
        <w:gridCol w:w="3135"/>
        <w:gridCol w:w="3135"/>
      </w:tblGrid>
      <w:tr>
        <w:tc>
          <w:tcPr>
            <w:tcW w:type="dxa" w:w="3118"/>
            <w:shd w:val="clear" w:color="auto" w:fill="0A2540"/>
            <w:tcBorders>
              <w:top w:val="single" w:sz="4" w:color="BFBFBF"/>
              <w:left w:val="single" w:sz="4" w:color="BFBFBF"/>
              <w:bottom w:val="single" w:sz="4" w:color="BFBFBF"/>
              <w:right w:val="single" w:sz="4" w:color="BFBFBF"/>
            </w:tcBorders>
            <w:vAlign w:val="center"/>
          </w:tcPr>
          <w:p>
            <w:pPr>
              <w:jc w:val="center"/>
            </w:pPr>
            <w:r>
              <w:rPr>
                <w:rFonts w:ascii="Calibri" w:hAnsi="Calibri"/>
                <w:b/>
                <w:color w:val="FFFFFF"/>
                <w:sz w:val="20"/>
              </w:rPr>
              <w:t>Composante</w:t>
            </w:r>
          </w:p>
        </w:tc>
        <w:tc>
          <w:tcPr>
            <w:tcW w:type="dxa" w:w="2551"/>
            <w:shd w:val="clear" w:color="auto" w:fill="0A2540"/>
            <w:tcBorders>
              <w:top w:val="single" w:sz="4" w:color="BFBFBF"/>
              <w:left w:val="single" w:sz="4" w:color="BFBFBF"/>
              <w:bottom w:val="single" w:sz="4" w:color="BFBFBF"/>
              <w:right w:val="single" w:sz="4" w:color="BFBFBF"/>
            </w:tcBorders>
            <w:vAlign w:val="center"/>
          </w:tcPr>
          <w:p>
            <w:pPr>
              <w:jc w:val="center"/>
            </w:pPr>
            <w:r>
              <w:rPr>
                <w:rFonts w:ascii="Calibri" w:hAnsi="Calibri"/>
                <w:b/>
                <w:color w:val="FFFFFF"/>
                <w:sz w:val="20"/>
              </w:rPr>
              <w:t>Type</w:t>
            </w:r>
          </w:p>
        </w:tc>
        <w:tc>
          <w:tcPr>
            <w:tcW w:type="dxa" w:w="3402"/>
            <w:shd w:val="clear" w:color="auto" w:fill="0A2540"/>
            <w:tcBorders>
              <w:top w:val="single" w:sz="4" w:color="BFBFBF"/>
              <w:left w:val="single" w:sz="4" w:color="BFBFBF"/>
              <w:bottom w:val="single" w:sz="4" w:color="BFBFBF"/>
              <w:right w:val="single" w:sz="4" w:color="BFBFBF"/>
            </w:tcBorders>
            <w:vAlign w:val="center"/>
          </w:tcPr>
          <w:p>
            <w:pPr>
              <w:jc w:val="center"/>
            </w:pPr>
            <w:r>
              <w:rPr>
                <w:rFonts w:ascii="Calibri" w:hAnsi="Calibri"/>
                <w:b/>
                <w:color w:val="FFFFFF"/>
                <w:sz w:val="20"/>
              </w:rPr>
              <w:t>Imputation</w:t>
            </w:r>
          </w:p>
        </w:tc>
      </w:tr>
      <w:tr>
        <w:tc>
          <w:tcPr>
            <w:tcW w:type="dxa" w:w="3118"/>
            <w:tcBorders>
              <w:top w:val="single" w:sz="4" w:color="BFBFBF"/>
              <w:left w:val="single" w:sz="4" w:color="BFBFBF"/>
              <w:bottom w:val="single" w:sz="4" w:color="BFBFBF"/>
              <w:right w:val="single" w:sz="4" w:color="BFBFBF"/>
            </w:tcBorders>
            <w:vAlign w:val="center"/>
          </w:tcPr>
          <w:p>
            <w:r>
              <w:rPr>
                <w:rFonts w:ascii="Calibri" w:hAnsi="Calibri"/>
                <w:sz w:val="20"/>
              </w:rPr>
              <w:t>Matières premières (MP)</w:t>
            </w:r>
          </w:p>
        </w:tc>
        <w:tc>
          <w:tcPr>
            <w:tcW w:type="dxa" w:w="2551"/>
            <w:tcBorders>
              <w:top w:val="single" w:sz="4" w:color="BFBFBF"/>
              <w:left w:val="single" w:sz="4" w:color="BFBFBF"/>
              <w:bottom w:val="single" w:sz="4" w:color="BFBFBF"/>
              <w:right w:val="single" w:sz="4" w:color="BFBFBF"/>
            </w:tcBorders>
            <w:vAlign w:val="center"/>
          </w:tcPr>
          <w:p>
            <w:r>
              <w:rPr>
                <w:rFonts w:ascii="Calibri" w:hAnsi="Calibri"/>
                <w:sz w:val="20"/>
              </w:rPr>
              <w:t>Direct variable</w:t>
            </w:r>
          </w:p>
        </w:tc>
        <w:tc>
          <w:tcPr>
            <w:tcW w:type="dxa" w:w="3402"/>
            <w:tcBorders>
              <w:top w:val="single" w:sz="4" w:color="BFBFBF"/>
              <w:left w:val="single" w:sz="4" w:color="BFBFBF"/>
              <w:bottom w:val="single" w:sz="4" w:color="BFBFBF"/>
              <w:right w:val="single" w:sz="4" w:color="BFBFBF"/>
            </w:tcBorders>
            <w:vAlign w:val="center"/>
          </w:tcPr>
          <w:p>
            <w:r>
              <w:rPr>
                <w:rFonts w:ascii="Calibri" w:hAnsi="Calibri"/>
                <w:sz w:val="20"/>
              </w:rPr>
              <w:t>Au produit, à la quantité produite</w:t>
            </w:r>
          </w:p>
        </w:tc>
      </w:tr>
      <w:tr>
        <w:tc>
          <w:tcPr>
            <w:tcW w:type="dxa" w:w="3118"/>
            <w:shd w:val="clear" w:color="auto" w:fill="F2F2F2"/>
            <w:tcBorders>
              <w:top w:val="single" w:sz="4" w:color="BFBFBF"/>
              <w:left w:val="single" w:sz="4" w:color="BFBFBF"/>
              <w:bottom w:val="single" w:sz="4" w:color="BFBFBF"/>
              <w:right w:val="single" w:sz="4" w:color="BFBFBF"/>
            </w:tcBorders>
            <w:vAlign w:val="center"/>
          </w:tcPr>
          <w:p>
            <w:r>
              <w:rPr>
                <w:rFonts w:ascii="Calibri" w:hAnsi="Calibri"/>
                <w:sz w:val="20"/>
              </w:rPr>
              <w:t>Consommables &amp; emballages</w:t>
            </w:r>
          </w:p>
        </w:tc>
        <w:tc>
          <w:tcPr>
            <w:tcW w:type="dxa" w:w="2551"/>
            <w:shd w:val="clear" w:color="auto" w:fill="F2F2F2"/>
            <w:tcBorders>
              <w:top w:val="single" w:sz="4" w:color="BFBFBF"/>
              <w:left w:val="single" w:sz="4" w:color="BFBFBF"/>
              <w:bottom w:val="single" w:sz="4" w:color="BFBFBF"/>
              <w:right w:val="single" w:sz="4" w:color="BFBFBF"/>
            </w:tcBorders>
            <w:vAlign w:val="center"/>
          </w:tcPr>
          <w:p>
            <w:r>
              <w:rPr>
                <w:rFonts w:ascii="Calibri" w:hAnsi="Calibri"/>
                <w:sz w:val="20"/>
              </w:rPr>
              <w:t>Direct variable</w:t>
            </w:r>
          </w:p>
        </w:tc>
        <w:tc>
          <w:tcPr>
            <w:tcW w:type="dxa" w:w="3402"/>
            <w:shd w:val="clear" w:color="auto" w:fill="F2F2F2"/>
            <w:tcBorders>
              <w:top w:val="single" w:sz="4" w:color="BFBFBF"/>
              <w:left w:val="single" w:sz="4" w:color="BFBFBF"/>
              <w:bottom w:val="single" w:sz="4" w:color="BFBFBF"/>
              <w:right w:val="single" w:sz="4" w:color="BFBFBF"/>
            </w:tcBorders>
            <w:vAlign w:val="center"/>
          </w:tcPr>
          <w:p>
            <w:r>
              <w:rPr>
                <w:rFonts w:ascii="Calibri" w:hAnsi="Calibri"/>
                <w:sz w:val="20"/>
              </w:rPr>
              <w:t>Au produit</w:t>
            </w:r>
          </w:p>
        </w:tc>
      </w:tr>
      <w:tr>
        <w:tc>
          <w:tcPr>
            <w:tcW w:type="dxa" w:w="3118"/>
            <w:tcBorders>
              <w:top w:val="single" w:sz="4" w:color="BFBFBF"/>
              <w:left w:val="single" w:sz="4" w:color="BFBFBF"/>
              <w:bottom w:val="single" w:sz="4" w:color="BFBFBF"/>
              <w:right w:val="single" w:sz="4" w:color="BFBFBF"/>
            </w:tcBorders>
            <w:vAlign w:val="center"/>
          </w:tcPr>
          <w:p>
            <w:r>
              <w:rPr>
                <w:rFonts w:ascii="Calibri" w:hAnsi="Calibri"/>
                <w:sz w:val="20"/>
              </w:rPr>
              <w:t>Main d'œuvre directe (MOD)</w:t>
            </w:r>
          </w:p>
        </w:tc>
        <w:tc>
          <w:tcPr>
            <w:tcW w:type="dxa" w:w="2551"/>
            <w:tcBorders>
              <w:top w:val="single" w:sz="4" w:color="BFBFBF"/>
              <w:left w:val="single" w:sz="4" w:color="BFBFBF"/>
              <w:bottom w:val="single" w:sz="4" w:color="BFBFBF"/>
              <w:right w:val="single" w:sz="4" w:color="BFBFBF"/>
            </w:tcBorders>
            <w:vAlign w:val="center"/>
          </w:tcPr>
          <w:p>
            <w:r>
              <w:rPr>
                <w:rFonts w:ascii="Calibri" w:hAnsi="Calibri"/>
                <w:sz w:val="20"/>
              </w:rPr>
              <w:t>Direct variable ou semi-variable</w:t>
            </w:r>
          </w:p>
        </w:tc>
        <w:tc>
          <w:tcPr>
            <w:tcW w:type="dxa" w:w="3402"/>
            <w:tcBorders>
              <w:top w:val="single" w:sz="4" w:color="BFBFBF"/>
              <w:left w:val="single" w:sz="4" w:color="BFBFBF"/>
              <w:bottom w:val="single" w:sz="4" w:color="BFBFBF"/>
              <w:right w:val="single" w:sz="4" w:color="BFBFBF"/>
            </w:tcBorders>
            <w:vAlign w:val="center"/>
          </w:tcPr>
          <w:p>
            <w:r>
              <w:rPr>
                <w:rFonts w:ascii="Calibri" w:hAnsi="Calibri"/>
                <w:sz w:val="20"/>
              </w:rPr>
              <w:t>Au produit, au temps</w:t>
            </w:r>
          </w:p>
        </w:tc>
      </w:tr>
      <w:tr>
        <w:tc>
          <w:tcPr>
            <w:tcW w:type="dxa" w:w="3118"/>
            <w:shd w:val="clear" w:color="auto" w:fill="F2F2F2"/>
            <w:tcBorders>
              <w:top w:val="single" w:sz="4" w:color="BFBFBF"/>
              <w:left w:val="single" w:sz="4" w:color="BFBFBF"/>
              <w:bottom w:val="single" w:sz="4" w:color="BFBFBF"/>
              <w:right w:val="single" w:sz="4" w:color="BFBFBF"/>
            </w:tcBorders>
            <w:vAlign w:val="center"/>
          </w:tcPr>
          <w:p>
            <w:r>
              <w:rPr>
                <w:rFonts w:ascii="Calibri" w:hAnsi="Calibri"/>
                <w:sz w:val="20"/>
              </w:rPr>
              <w:t>Énergie variable (process)</w:t>
            </w:r>
          </w:p>
        </w:tc>
        <w:tc>
          <w:tcPr>
            <w:tcW w:type="dxa" w:w="2551"/>
            <w:shd w:val="clear" w:color="auto" w:fill="F2F2F2"/>
            <w:tcBorders>
              <w:top w:val="single" w:sz="4" w:color="BFBFBF"/>
              <w:left w:val="single" w:sz="4" w:color="BFBFBF"/>
              <w:bottom w:val="single" w:sz="4" w:color="BFBFBF"/>
              <w:right w:val="single" w:sz="4" w:color="BFBFBF"/>
            </w:tcBorders>
            <w:vAlign w:val="center"/>
          </w:tcPr>
          <w:p>
            <w:r>
              <w:rPr>
                <w:rFonts w:ascii="Calibri" w:hAnsi="Calibri"/>
                <w:sz w:val="20"/>
              </w:rPr>
              <w:t>Direct variable</w:t>
            </w:r>
          </w:p>
        </w:tc>
        <w:tc>
          <w:tcPr>
            <w:tcW w:type="dxa" w:w="3402"/>
            <w:shd w:val="clear" w:color="auto" w:fill="F2F2F2"/>
            <w:tcBorders>
              <w:top w:val="single" w:sz="4" w:color="BFBFBF"/>
              <w:left w:val="single" w:sz="4" w:color="BFBFBF"/>
              <w:bottom w:val="single" w:sz="4" w:color="BFBFBF"/>
              <w:right w:val="single" w:sz="4" w:color="BFBFBF"/>
            </w:tcBorders>
            <w:vAlign w:val="center"/>
          </w:tcPr>
          <w:p>
            <w:r>
              <w:rPr>
                <w:rFonts w:ascii="Calibri" w:hAnsi="Calibri"/>
                <w:sz w:val="20"/>
              </w:rPr>
              <w:t>Au volume produit</w:t>
            </w:r>
          </w:p>
        </w:tc>
      </w:tr>
      <w:tr>
        <w:tc>
          <w:tcPr>
            <w:tcW w:type="dxa" w:w="3118"/>
            <w:tcBorders>
              <w:top w:val="single" w:sz="4" w:color="BFBFBF"/>
              <w:left w:val="single" w:sz="4" w:color="BFBFBF"/>
              <w:bottom w:val="single" w:sz="4" w:color="BFBFBF"/>
              <w:right w:val="single" w:sz="4" w:color="BFBFBF"/>
            </w:tcBorders>
            <w:vAlign w:val="center"/>
          </w:tcPr>
          <w:p>
            <w:r>
              <w:rPr>
                <w:rFonts w:ascii="Calibri" w:hAnsi="Calibri"/>
                <w:sz w:val="20"/>
              </w:rPr>
              <w:t>Amortissement équipement</w:t>
            </w:r>
          </w:p>
        </w:tc>
        <w:tc>
          <w:tcPr>
            <w:tcW w:type="dxa" w:w="2551"/>
            <w:tcBorders>
              <w:top w:val="single" w:sz="4" w:color="BFBFBF"/>
              <w:left w:val="single" w:sz="4" w:color="BFBFBF"/>
              <w:bottom w:val="single" w:sz="4" w:color="BFBFBF"/>
              <w:right w:val="single" w:sz="4" w:color="BFBFBF"/>
            </w:tcBorders>
            <w:vAlign w:val="center"/>
          </w:tcPr>
          <w:p>
            <w:r>
              <w:rPr>
                <w:rFonts w:ascii="Calibri" w:hAnsi="Calibri"/>
                <w:sz w:val="20"/>
              </w:rPr>
              <w:t>Fixe</w:t>
            </w:r>
          </w:p>
        </w:tc>
        <w:tc>
          <w:tcPr>
            <w:tcW w:type="dxa" w:w="3402"/>
            <w:tcBorders>
              <w:top w:val="single" w:sz="4" w:color="BFBFBF"/>
              <w:left w:val="single" w:sz="4" w:color="BFBFBF"/>
              <w:bottom w:val="single" w:sz="4" w:color="BFBFBF"/>
              <w:right w:val="single" w:sz="4" w:color="BFBFBF"/>
            </w:tcBorders>
            <w:vAlign w:val="center"/>
          </w:tcPr>
          <w:p>
            <w:r>
              <w:rPr>
                <w:rFonts w:ascii="Calibri" w:hAnsi="Calibri"/>
                <w:sz w:val="20"/>
              </w:rPr>
              <w:t>Structure</w:t>
            </w:r>
          </w:p>
        </w:tc>
      </w:tr>
      <w:tr>
        <w:tc>
          <w:tcPr>
            <w:tcW w:type="dxa" w:w="3118"/>
            <w:shd w:val="clear" w:color="auto" w:fill="F2F2F2"/>
            <w:tcBorders>
              <w:top w:val="single" w:sz="4" w:color="BFBFBF"/>
              <w:left w:val="single" w:sz="4" w:color="BFBFBF"/>
              <w:bottom w:val="single" w:sz="4" w:color="BFBFBF"/>
              <w:right w:val="single" w:sz="4" w:color="BFBFBF"/>
            </w:tcBorders>
            <w:vAlign w:val="center"/>
          </w:tcPr>
          <w:p>
            <w:r>
              <w:rPr>
                <w:rFonts w:ascii="Calibri" w:hAnsi="Calibri"/>
                <w:sz w:val="20"/>
              </w:rPr>
              <w:t>MOD indirecte (maintenance, qualité)</w:t>
            </w:r>
          </w:p>
        </w:tc>
        <w:tc>
          <w:tcPr>
            <w:tcW w:type="dxa" w:w="2551"/>
            <w:shd w:val="clear" w:color="auto" w:fill="F2F2F2"/>
            <w:tcBorders>
              <w:top w:val="single" w:sz="4" w:color="BFBFBF"/>
              <w:left w:val="single" w:sz="4" w:color="BFBFBF"/>
              <w:bottom w:val="single" w:sz="4" w:color="BFBFBF"/>
              <w:right w:val="single" w:sz="4" w:color="BFBFBF"/>
            </w:tcBorders>
            <w:vAlign w:val="center"/>
          </w:tcPr>
          <w:p>
            <w:r>
              <w:rPr>
                <w:rFonts w:ascii="Calibri" w:hAnsi="Calibri"/>
                <w:sz w:val="20"/>
              </w:rPr>
              <w:t>Semi-variable</w:t>
            </w:r>
          </w:p>
        </w:tc>
        <w:tc>
          <w:tcPr>
            <w:tcW w:type="dxa" w:w="3402"/>
            <w:shd w:val="clear" w:color="auto" w:fill="F2F2F2"/>
            <w:tcBorders>
              <w:top w:val="single" w:sz="4" w:color="BFBFBF"/>
              <w:left w:val="single" w:sz="4" w:color="BFBFBF"/>
              <w:bottom w:val="single" w:sz="4" w:color="BFBFBF"/>
              <w:right w:val="single" w:sz="4" w:color="BFBFBF"/>
            </w:tcBorders>
            <w:vAlign w:val="center"/>
          </w:tcPr>
          <w:p>
            <w:r>
              <w:rPr>
                <w:rFonts w:ascii="Calibri" w:hAnsi="Calibri"/>
                <w:sz w:val="20"/>
              </w:rPr>
              <w:t>Frais généraux usine</w:t>
            </w:r>
          </w:p>
        </w:tc>
      </w:tr>
      <w:tr>
        <w:tc>
          <w:tcPr>
            <w:tcW w:type="dxa" w:w="3118"/>
            <w:tcBorders>
              <w:top w:val="single" w:sz="4" w:color="BFBFBF"/>
              <w:left w:val="single" w:sz="4" w:color="BFBFBF"/>
              <w:bottom w:val="single" w:sz="4" w:color="BFBFBF"/>
              <w:right w:val="single" w:sz="4" w:color="BFBFBF"/>
            </w:tcBorders>
            <w:vAlign w:val="center"/>
          </w:tcPr>
          <w:p>
            <w:r>
              <w:rPr>
                <w:rFonts w:ascii="Calibri" w:hAnsi="Calibri"/>
                <w:sz w:val="20"/>
              </w:rPr>
              <w:t>Loyers &amp; immobilier industriel</w:t>
            </w:r>
          </w:p>
        </w:tc>
        <w:tc>
          <w:tcPr>
            <w:tcW w:type="dxa" w:w="2551"/>
            <w:tcBorders>
              <w:top w:val="single" w:sz="4" w:color="BFBFBF"/>
              <w:left w:val="single" w:sz="4" w:color="BFBFBF"/>
              <w:bottom w:val="single" w:sz="4" w:color="BFBFBF"/>
              <w:right w:val="single" w:sz="4" w:color="BFBFBF"/>
            </w:tcBorders>
            <w:vAlign w:val="center"/>
          </w:tcPr>
          <w:p>
            <w:r>
              <w:rPr>
                <w:rFonts w:ascii="Calibri" w:hAnsi="Calibri"/>
                <w:sz w:val="20"/>
              </w:rPr>
              <w:t>Fixe</w:t>
            </w:r>
          </w:p>
        </w:tc>
        <w:tc>
          <w:tcPr>
            <w:tcW w:type="dxa" w:w="3402"/>
            <w:tcBorders>
              <w:top w:val="single" w:sz="4" w:color="BFBFBF"/>
              <w:left w:val="single" w:sz="4" w:color="BFBFBF"/>
              <w:bottom w:val="single" w:sz="4" w:color="BFBFBF"/>
              <w:right w:val="single" w:sz="4" w:color="BFBFBF"/>
            </w:tcBorders>
            <w:vAlign w:val="center"/>
          </w:tcPr>
          <w:p>
            <w:r>
              <w:rPr>
                <w:rFonts w:ascii="Calibri" w:hAnsi="Calibri"/>
                <w:sz w:val="20"/>
              </w:rPr>
              <w:t>Structure</w:t>
            </w:r>
          </w:p>
        </w:tc>
      </w:tr>
      <w:tr>
        <w:tc>
          <w:tcPr>
            <w:tcW w:type="dxa" w:w="3118"/>
            <w:shd w:val="clear" w:color="auto" w:fill="F2F2F2"/>
            <w:tcBorders>
              <w:top w:val="single" w:sz="4" w:color="BFBFBF"/>
              <w:left w:val="single" w:sz="4" w:color="BFBFBF"/>
              <w:bottom w:val="single" w:sz="4" w:color="BFBFBF"/>
              <w:right w:val="single" w:sz="4" w:color="BFBFBF"/>
            </w:tcBorders>
            <w:vAlign w:val="center"/>
          </w:tcPr>
          <w:p>
            <w:r>
              <w:rPr>
                <w:rFonts w:ascii="Calibri" w:hAnsi="Calibri"/>
                <w:sz w:val="20"/>
              </w:rPr>
              <w:t>Encadrement &amp; supervision</w:t>
            </w:r>
          </w:p>
        </w:tc>
        <w:tc>
          <w:tcPr>
            <w:tcW w:type="dxa" w:w="2551"/>
            <w:shd w:val="clear" w:color="auto" w:fill="F2F2F2"/>
            <w:tcBorders>
              <w:top w:val="single" w:sz="4" w:color="BFBFBF"/>
              <w:left w:val="single" w:sz="4" w:color="BFBFBF"/>
              <w:bottom w:val="single" w:sz="4" w:color="BFBFBF"/>
              <w:right w:val="single" w:sz="4" w:color="BFBFBF"/>
            </w:tcBorders>
            <w:vAlign w:val="center"/>
          </w:tcPr>
          <w:p>
            <w:r>
              <w:rPr>
                <w:rFonts w:ascii="Calibri" w:hAnsi="Calibri"/>
                <w:sz w:val="20"/>
              </w:rPr>
              <w:t>Fixe</w:t>
            </w:r>
          </w:p>
        </w:tc>
        <w:tc>
          <w:tcPr>
            <w:tcW w:type="dxa" w:w="3402"/>
            <w:shd w:val="clear" w:color="auto" w:fill="F2F2F2"/>
            <w:tcBorders>
              <w:top w:val="single" w:sz="4" w:color="BFBFBF"/>
              <w:left w:val="single" w:sz="4" w:color="BFBFBF"/>
              <w:bottom w:val="single" w:sz="4" w:color="BFBFBF"/>
              <w:right w:val="single" w:sz="4" w:color="BFBFBF"/>
            </w:tcBorders>
            <w:vAlign w:val="center"/>
          </w:tcPr>
          <w:p>
            <w:r>
              <w:rPr>
                <w:rFonts w:ascii="Calibri" w:hAnsi="Calibri"/>
                <w:sz w:val="20"/>
              </w:rPr>
              <w:t>Structure</w:t>
            </w:r>
          </w:p>
        </w:tc>
      </w:tr>
    </w:tbl>
    <w:p>
      <w:pPr>
        <w:spacing w:after="120"/>
      </w:pPr>
    </w:p>
    <w:p>
      <w:pPr>
        <w:pStyle w:val="Heading3"/>
        <w:spacing w:before="180" w:after="120"/>
      </w:pPr>
      <w:r>
        <w:rPr>
          <w:rFonts w:ascii="Calibri" w:hAnsi="Calibri"/>
          <w:b/>
          <w:color w:val="0A2540"/>
          <w:sz w:val="26"/>
        </w:rPr>
        <w:t>Hypothèses clés (intrants paramétrables)</w:t>
      </w:r>
    </w:p>
    <w:p>
      <w:pPr>
        <w:pStyle w:val="ListBullet"/>
        <w:spacing w:after="60"/>
        <w:ind w:left="340"/>
      </w:pPr>
      <w:r>
        <w:rPr>
          <w:rFonts w:ascii="Calibri" w:hAnsi="Calibri"/>
          <w:sz w:val="22"/>
        </w:rPr>
        <w:t>Catalogue produits / SKUs : nomenclature, prix de vente, gammes</w:t>
      </w:r>
    </w:p>
    <w:p>
      <w:pPr>
        <w:pStyle w:val="ListBullet"/>
        <w:spacing w:after="60"/>
        <w:ind w:left="340"/>
      </w:pPr>
      <w:r>
        <w:rPr>
          <w:rFonts w:ascii="Calibri" w:hAnsi="Calibri"/>
          <w:sz w:val="22"/>
        </w:rPr>
        <w:t>Capacité de production : capacité théorique (machine-heures, tonnes/mois), arrêts planifiés, OEE cible</w:t>
      </w:r>
    </w:p>
    <w:p>
      <w:pPr>
        <w:pStyle w:val="ListBullet"/>
        <w:spacing w:after="60"/>
        <w:ind w:left="340"/>
      </w:pPr>
      <w:r>
        <w:rPr>
          <w:rFonts w:ascii="Calibri" w:hAnsi="Calibri"/>
          <w:sz w:val="22"/>
        </w:rPr>
        <w:t>Nomenclature &amp; bill of materials (BOM) : MP/produit, MOD/produit, taux de chute / rebut</w:t>
      </w:r>
    </w:p>
    <w:p>
      <w:pPr>
        <w:pStyle w:val="ListBullet"/>
        <w:spacing w:after="60"/>
        <w:ind w:left="340"/>
      </w:pPr>
      <w:r>
        <w:rPr>
          <w:rFonts w:ascii="Calibri" w:hAnsi="Calibri"/>
          <w:sz w:val="22"/>
        </w:rPr>
        <w:t>Achats MP : prix, devise (souvent USD pour MP importées), DPO fournisseurs, stock de sécurité</w:t>
      </w:r>
    </w:p>
    <w:p>
      <w:pPr>
        <w:pStyle w:val="ListBullet"/>
        <w:spacing w:after="60"/>
        <w:ind w:left="340"/>
      </w:pPr>
      <w:r>
        <w:rPr>
          <w:rFonts w:ascii="Calibri" w:hAnsi="Calibri"/>
          <w:sz w:val="22"/>
        </w:rPr>
        <w:t>Stocks multi-niveaux : MP, en-cours (WIP), produits finis (PF) — quantités, valeur, rotation</w:t>
      </w:r>
    </w:p>
    <w:p>
      <w:pPr>
        <w:pStyle w:val="ListBullet"/>
        <w:spacing w:after="60"/>
        <w:ind w:left="340"/>
      </w:pPr>
      <w:r>
        <w:rPr>
          <w:rFonts w:ascii="Calibri" w:hAnsi="Calibri"/>
          <w:sz w:val="22"/>
        </w:rPr>
        <w:t>MOD : effectifs par poste, productivité (unités/heure), salaire chargé, polyvalence</w:t>
      </w:r>
    </w:p>
    <w:p>
      <w:pPr>
        <w:pStyle w:val="ListBullet"/>
        <w:spacing w:after="60"/>
        <w:ind w:left="340"/>
      </w:pPr>
      <w:r>
        <w:rPr>
          <w:rFonts w:ascii="Calibri" w:hAnsi="Calibri"/>
          <w:sz w:val="22"/>
        </w:rPr>
        <w:t>Énergie : consommation par produit, prix kWh, contrat (heures pleines/creuses)</w:t>
      </w:r>
    </w:p>
    <w:p>
      <w:pPr>
        <w:pStyle w:val="ListBullet"/>
        <w:spacing w:after="60"/>
        <w:ind w:left="340"/>
      </w:pPr>
      <w:r>
        <w:rPr>
          <w:rFonts w:ascii="Calibri" w:hAnsi="Calibri"/>
          <w:sz w:val="22"/>
        </w:rPr>
        <w:t>Maintenance : préventive, corrective, taux de panne, MTBF</w:t>
      </w:r>
    </w:p>
    <w:p>
      <w:pPr>
        <w:pStyle w:val="ListBullet"/>
        <w:spacing w:after="60"/>
        <w:ind w:left="340"/>
      </w:pPr>
      <w:r>
        <w:rPr>
          <w:rFonts w:ascii="Calibri" w:hAnsi="Calibri"/>
          <w:sz w:val="22"/>
        </w:rPr>
        <w:t>Distribution : canaux (direct vs distributeur), DSO clients, logistique</w:t>
      </w:r>
    </w:p>
    <w:p>
      <w:pPr>
        <w:pStyle w:val="ListBullet"/>
        <w:spacing w:after="60"/>
        <w:ind w:left="340"/>
      </w:pPr>
      <w:r>
        <w:rPr>
          <w:rFonts w:ascii="Calibri" w:hAnsi="Calibri"/>
          <w:sz w:val="22"/>
        </w:rPr>
        <w:t>CAPEX : ligne actuelle, extensions prévues, amortissement, maintenance immobilisée</w:t>
      </w:r>
    </w:p>
    <w:p>
      <w:pPr>
        <w:pStyle w:val="Heading3"/>
        <w:spacing w:before="180" w:after="120"/>
      </w:pPr>
      <w:r>
        <w:rPr>
          <w:rFonts w:ascii="Calibri" w:hAnsi="Calibri"/>
          <w:b/>
          <w:color w:val="0A2540"/>
          <w:sz w:val="26"/>
        </w:rPr>
        <w:t>Règles de calcul critiques</w:t>
      </w:r>
    </w:p>
    <w:tbl>
      <w:tblPr>
        <w:tblW w:type="auto" w:w="0"/>
        <w:jc w:val="center"/>
        <w:tblLayout w:type="fixed"/>
        <w:tblLook w:firstColumn="1" w:firstRow="1" w:lastColumn="0" w:lastRow="0" w:noHBand="0" w:noVBand="1" w:val="04A0"/>
      </w:tblPr>
      <w:tblGrid>
        <w:gridCol w:w="3135"/>
        <w:gridCol w:w="3135"/>
        <w:gridCol w:w="3135"/>
      </w:tblGrid>
      <w:tr>
        <w:tc>
          <w:tcPr>
            <w:tcW w:type="dxa" w:w="2835"/>
            <w:shd w:val="clear" w:color="auto" w:fill="0A2540"/>
            <w:tcBorders>
              <w:top w:val="single" w:sz="4" w:color="BFBFBF"/>
              <w:left w:val="single" w:sz="4" w:color="BFBFBF"/>
              <w:bottom w:val="single" w:sz="4" w:color="BFBFBF"/>
              <w:right w:val="single" w:sz="4" w:color="BFBFBF"/>
            </w:tcBorders>
            <w:vAlign w:val="center"/>
          </w:tcPr>
          <w:p>
            <w:pPr>
              <w:jc w:val="center"/>
            </w:pPr>
            <w:r>
              <w:rPr>
                <w:rFonts w:ascii="Calibri" w:hAnsi="Calibri"/>
                <w:b/>
                <w:color w:val="FFFFFF"/>
                <w:sz w:val="20"/>
              </w:rPr>
              <w:t>Calcul</w:t>
            </w:r>
          </w:p>
        </w:tc>
        <w:tc>
          <w:tcPr>
            <w:tcW w:type="dxa" w:w="4252"/>
            <w:shd w:val="clear" w:color="auto" w:fill="0A2540"/>
            <w:tcBorders>
              <w:top w:val="single" w:sz="4" w:color="BFBFBF"/>
              <w:left w:val="single" w:sz="4" w:color="BFBFBF"/>
              <w:bottom w:val="single" w:sz="4" w:color="BFBFBF"/>
              <w:right w:val="single" w:sz="4" w:color="BFBFBF"/>
            </w:tcBorders>
            <w:vAlign w:val="center"/>
          </w:tcPr>
          <w:p>
            <w:pPr>
              <w:jc w:val="center"/>
            </w:pPr>
            <w:r>
              <w:rPr>
                <w:rFonts w:ascii="Calibri" w:hAnsi="Calibri"/>
                <w:b/>
                <w:color w:val="FFFFFF"/>
                <w:sz w:val="20"/>
              </w:rPr>
              <w:t>Formule type</w:t>
            </w:r>
          </w:p>
        </w:tc>
        <w:tc>
          <w:tcPr>
            <w:tcW w:type="dxa" w:w="1984"/>
            <w:shd w:val="clear" w:color="auto" w:fill="0A2540"/>
            <w:tcBorders>
              <w:top w:val="single" w:sz="4" w:color="BFBFBF"/>
              <w:left w:val="single" w:sz="4" w:color="BFBFBF"/>
              <w:bottom w:val="single" w:sz="4" w:color="BFBFBF"/>
              <w:right w:val="single" w:sz="4" w:color="BFBFBF"/>
            </w:tcBorders>
            <w:vAlign w:val="center"/>
          </w:tcPr>
          <w:p>
            <w:pPr>
              <w:jc w:val="center"/>
            </w:pPr>
            <w:r>
              <w:rPr>
                <w:rFonts w:ascii="Calibri" w:hAnsi="Calibri"/>
                <w:b/>
                <w:color w:val="FFFFFF"/>
                <w:sz w:val="20"/>
              </w:rPr>
              <w:t>Application</w:t>
            </w:r>
          </w:p>
        </w:tc>
      </w:tr>
      <w:tr>
        <w:tc>
          <w:tcPr>
            <w:tcW w:type="dxa" w:w="2835"/>
            <w:tcBorders>
              <w:top w:val="single" w:sz="4" w:color="BFBFBF"/>
              <w:left w:val="single" w:sz="4" w:color="BFBFBF"/>
              <w:bottom w:val="single" w:sz="4" w:color="BFBFBF"/>
              <w:right w:val="single" w:sz="4" w:color="BFBFBF"/>
            </w:tcBorders>
            <w:vAlign w:val="center"/>
          </w:tcPr>
          <w:p>
            <w:r>
              <w:rPr>
                <w:rFonts w:ascii="Calibri" w:hAnsi="Calibri"/>
                <w:sz w:val="20"/>
              </w:rPr>
              <w:t>OEE</w:t>
            </w:r>
          </w:p>
        </w:tc>
        <w:tc>
          <w:tcPr>
            <w:tcW w:type="dxa" w:w="4252"/>
            <w:tcBorders>
              <w:top w:val="single" w:sz="4" w:color="BFBFBF"/>
              <w:left w:val="single" w:sz="4" w:color="BFBFBF"/>
              <w:bottom w:val="single" w:sz="4" w:color="BFBFBF"/>
              <w:right w:val="single" w:sz="4" w:color="BFBFBF"/>
            </w:tcBorders>
            <w:vAlign w:val="center"/>
          </w:tcPr>
          <w:p>
            <w:r>
              <w:rPr>
                <w:rFonts w:ascii="Calibri" w:hAnsi="Calibri"/>
                <w:sz w:val="20"/>
              </w:rPr>
              <w:t>Disponibilité × Performance × Qualité</w:t>
            </w:r>
          </w:p>
        </w:tc>
        <w:tc>
          <w:tcPr>
            <w:tcW w:type="dxa" w:w="1984"/>
            <w:tcBorders>
              <w:top w:val="single" w:sz="4" w:color="BFBFBF"/>
              <w:left w:val="single" w:sz="4" w:color="BFBFBF"/>
              <w:bottom w:val="single" w:sz="4" w:color="BFBFBF"/>
              <w:right w:val="single" w:sz="4" w:color="BFBFBF"/>
            </w:tcBorders>
            <w:vAlign w:val="center"/>
          </w:tcPr>
          <w:p>
            <w:r>
              <w:rPr>
                <w:rFonts w:ascii="Calibri" w:hAnsi="Calibri"/>
                <w:sz w:val="20"/>
              </w:rPr>
              <w:t>KPI industrie de référence</w:t>
            </w:r>
          </w:p>
        </w:tc>
      </w:tr>
      <w:tr>
        <w:tc>
          <w:tcPr>
            <w:tcW w:type="dxa" w:w="2835"/>
            <w:shd w:val="clear" w:color="auto" w:fill="F2F2F2"/>
            <w:tcBorders>
              <w:top w:val="single" w:sz="4" w:color="BFBFBF"/>
              <w:left w:val="single" w:sz="4" w:color="BFBFBF"/>
              <w:bottom w:val="single" w:sz="4" w:color="BFBFBF"/>
              <w:right w:val="single" w:sz="4" w:color="BFBFBF"/>
            </w:tcBorders>
            <w:vAlign w:val="center"/>
          </w:tcPr>
          <w:p>
            <w:r>
              <w:rPr>
                <w:rFonts w:ascii="Calibri" w:hAnsi="Calibri"/>
                <w:sz w:val="20"/>
              </w:rPr>
              <w:t>Coût standard unitaire</w:t>
            </w:r>
          </w:p>
        </w:tc>
        <w:tc>
          <w:tcPr>
            <w:tcW w:type="dxa" w:w="4252"/>
            <w:shd w:val="clear" w:color="auto" w:fill="F2F2F2"/>
            <w:tcBorders>
              <w:top w:val="single" w:sz="4" w:color="BFBFBF"/>
              <w:left w:val="single" w:sz="4" w:color="BFBFBF"/>
              <w:bottom w:val="single" w:sz="4" w:color="BFBFBF"/>
              <w:right w:val="single" w:sz="4" w:color="BFBFBF"/>
            </w:tcBorders>
            <w:vAlign w:val="center"/>
          </w:tcPr>
          <w:p>
            <w:r>
              <w:rPr>
                <w:rFonts w:ascii="Calibri" w:hAnsi="Calibri"/>
                <w:sz w:val="20"/>
              </w:rPr>
              <w:t>MP/u + MOD/u + Énergie/u + FG absorbés/u</w:t>
            </w:r>
          </w:p>
        </w:tc>
        <w:tc>
          <w:tcPr>
            <w:tcW w:type="dxa" w:w="1984"/>
            <w:shd w:val="clear" w:color="auto" w:fill="F2F2F2"/>
            <w:tcBorders>
              <w:top w:val="single" w:sz="4" w:color="BFBFBF"/>
              <w:left w:val="single" w:sz="4" w:color="BFBFBF"/>
              <w:bottom w:val="single" w:sz="4" w:color="BFBFBF"/>
              <w:right w:val="single" w:sz="4" w:color="BFBFBF"/>
            </w:tcBorders>
            <w:vAlign w:val="center"/>
          </w:tcPr>
          <w:p>
            <w:r>
              <w:rPr>
                <w:rFonts w:ascii="Calibri" w:hAnsi="Calibri"/>
                <w:sz w:val="20"/>
              </w:rPr>
              <w:t>Pricing, marges</w:t>
            </w:r>
          </w:p>
        </w:tc>
      </w:tr>
      <w:tr>
        <w:tc>
          <w:tcPr>
            <w:tcW w:type="dxa" w:w="2835"/>
            <w:tcBorders>
              <w:top w:val="single" w:sz="4" w:color="BFBFBF"/>
              <w:left w:val="single" w:sz="4" w:color="BFBFBF"/>
              <w:bottom w:val="single" w:sz="4" w:color="BFBFBF"/>
              <w:right w:val="single" w:sz="4" w:color="BFBFBF"/>
            </w:tcBorders>
            <w:vAlign w:val="center"/>
          </w:tcPr>
          <w:p>
            <w:r>
              <w:rPr>
                <w:rFonts w:ascii="Calibri" w:hAnsi="Calibri"/>
                <w:sz w:val="20"/>
              </w:rPr>
              <w:t>Écart de prix MP</w:t>
            </w:r>
          </w:p>
        </w:tc>
        <w:tc>
          <w:tcPr>
            <w:tcW w:type="dxa" w:w="4252"/>
            <w:tcBorders>
              <w:top w:val="single" w:sz="4" w:color="BFBFBF"/>
              <w:left w:val="single" w:sz="4" w:color="BFBFBF"/>
              <w:bottom w:val="single" w:sz="4" w:color="BFBFBF"/>
              <w:right w:val="single" w:sz="4" w:color="BFBFBF"/>
            </w:tcBorders>
            <w:vAlign w:val="center"/>
          </w:tcPr>
          <w:p>
            <w:r>
              <w:rPr>
                <w:rFonts w:ascii="Calibri" w:hAnsi="Calibri"/>
                <w:sz w:val="20"/>
              </w:rPr>
              <w:t>(Prix réel - Prix standard) × Q achetée</w:t>
            </w:r>
          </w:p>
        </w:tc>
        <w:tc>
          <w:tcPr>
            <w:tcW w:type="dxa" w:w="1984"/>
            <w:tcBorders>
              <w:top w:val="single" w:sz="4" w:color="BFBFBF"/>
              <w:left w:val="single" w:sz="4" w:color="BFBFBF"/>
              <w:bottom w:val="single" w:sz="4" w:color="BFBFBF"/>
              <w:right w:val="single" w:sz="4" w:color="BFBFBF"/>
            </w:tcBorders>
            <w:vAlign w:val="center"/>
          </w:tcPr>
          <w:p>
            <w:r>
              <w:rPr>
                <w:rFonts w:ascii="Calibri" w:hAnsi="Calibri"/>
                <w:sz w:val="20"/>
              </w:rPr>
              <w:t>Contrôle de gestion</w:t>
            </w:r>
          </w:p>
        </w:tc>
      </w:tr>
      <w:tr>
        <w:tc>
          <w:tcPr>
            <w:tcW w:type="dxa" w:w="2835"/>
            <w:shd w:val="clear" w:color="auto" w:fill="F2F2F2"/>
            <w:tcBorders>
              <w:top w:val="single" w:sz="4" w:color="BFBFBF"/>
              <w:left w:val="single" w:sz="4" w:color="BFBFBF"/>
              <w:bottom w:val="single" w:sz="4" w:color="BFBFBF"/>
              <w:right w:val="single" w:sz="4" w:color="BFBFBF"/>
            </w:tcBorders>
            <w:vAlign w:val="center"/>
          </w:tcPr>
          <w:p>
            <w:r>
              <w:rPr>
                <w:rFonts w:ascii="Calibri" w:hAnsi="Calibri"/>
                <w:sz w:val="20"/>
              </w:rPr>
              <w:t>Écart de quantité MP</w:t>
            </w:r>
          </w:p>
        </w:tc>
        <w:tc>
          <w:tcPr>
            <w:tcW w:type="dxa" w:w="4252"/>
            <w:shd w:val="clear" w:color="auto" w:fill="F2F2F2"/>
            <w:tcBorders>
              <w:top w:val="single" w:sz="4" w:color="BFBFBF"/>
              <w:left w:val="single" w:sz="4" w:color="BFBFBF"/>
              <w:bottom w:val="single" w:sz="4" w:color="BFBFBF"/>
              <w:right w:val="single" w:sz="4" w:color="BFBFBF"/>
            </w:tcBorders>
            <w:vAlign w:val="center"/>
          </w:tcPr>
          <w:p>
            <w:r>
              <w:rPr>
                <w:rFonts w:ascii="Calibri" w:hAnsi="Calibri"/>
                <w:sz w:val="20"/>
              </w:rPr>
              <w:t>(Q réelle - Q standard) × Prix standard</w:t>
            </w:r>
          </w:p>
        </w:tc>
        <w:tc>
          <w:tcPr>
            <w:tcW w:type="dxa" w:w="1984"/>
            <w:shd w:val="clear" w:color="auto" w:fill="F2F2F2"/>
            <w:tcBorders>
              <w:top w:val="single" w:sz="4" w:color="BFBFBF"/>
              <w:left w:val="single" w:sz="4" w:color="BFBFBF"/>
              <w:bottom w:val="single" w:sz="4" w:color="BFBFBF"/>
              <w:right w:val="single" w:sz="4" w:color="BFBFBF"/>
            </w:tcBorders>
            <w:vAlign w:val="center"/>
          </w:tcPr>
          <w:p>
            <w:r>
              <w:rPr>
                <w:rFonts w:ascii="Calibri" w:hAnsi="Calibri"/>
                <w:sz w:val="20"/>
              </w:rPr>
              <w:t>Contrôle de gestion</w:t>
            </w:r>
          </w:p>
        </w:tc>
      </w:tr>
      <w:tr>
        <w:tc>
          <w:tcPr>
            <w:tcW w:type="dxa" w:w="2835"/>
            <w:tcBorders>
              <w:top w:val="single" w:sz="4" w:color="BFBFBF"/>
              <w:left w:val="single" w:sz="4" w:color="BFBFBF"/>
              <w:bottom w:val="single" w:sz="4" w:color="BFBFBF"/>
              <w:right w:val="single" w:sz="4" w:color="BFBFBF"/>
            </w:tcBorders>
            <w:vAlign w:val="center"/>
          </w:tcPr>
          <w:p>
            <w:r>
              <w:rPr>
                <w:rFonts w:ascii="Calibri" w:hAnsi="Calibri"/>
                <w:sz w:val="20"/>
              </w:rPr>
              <w:t>Écart de productivité MOD</w:t>
            </w:r>
          </w:p>
        </w:tc>
        <w:tc>
          <w:tcPr>
            <w:tcW w:type="dxa" w:w="4252"/>
            <w:tcBorders>
              <w:top w:val="single" w:sz="4" w:color="BFBFBF"/>
              <w:left w:val="single" w:sz="4" w:color="BFBFBF"/>
              <w:bottom w:val="single" w:sz="4" w:color="BFBFBF"/>
              <w:right w:val="single" w:sz="4" w:color="BFBFBF"/>
            </w:tcBorders>
            <w:vAlign w:val="center"/>
          </w:tcPr>
          <w:p>
            <w:r>
              <w:rPr>
                <w:rFonts w:ascii="Calibri" w:hAnsi="Calibri"/>
                <w:sz w:val="20"/>
              </w:rPr>
              <w:t>(Tps réel - Tps standard) × Tx standard</w:t>
            </w:r>
          </w:p>
        </w:tc>
        <w:tc>
          <w:tcPr>
            <w:tcW w:type="dxa" w:w="1984"/>
            <w:tcBorders>
              <w:top w:val="single" w:sz="4" w:color="BFBFBF"/>
              <w:left w:val="single" w:sz="4" w:color="BFBFBF"/>
              <w:bottom w:val="single" w:sz="4" w:color="BFBFBF"/>
              <w:right w:val="single" w:sz="4" w:color="BFBFBF"/>
            </w:tcBorders>
            <w:vAlign w:val="center"/>
          </w:tcPr>
          <w:p>
            <w:r>
              <w:rPr>
                <w:rFonts w:ascii="Calibri" w:hAnsi="Calibri"/>
                <w:sz w:val="20"/>
              </w:rPr>
              <w:t>Contrôle de gestion</w:t>
            </w:r>
          </w:p>
        </w:tc>
      </w:tr>
      <w:tr>
        <w:tc>
          <w:tcPr>
            <w:tcW w:type="dxa" w:w="2835"/>
            <w:shd w:val="clear" w:color="auto" w:fill="F2F2F2"/>
            <w:tcBorders>
              <w:top w:val="single" w:sz="4" w:color="BFBFBF"/>
              <w:left w:val="single" w:sz="4" w:color="BFBFBF"/>
              <w:bottom w:val="single" w:sz="4" w:color="BFBFBF"/>
              <w:right w:val="single" w:sz="4" w:color="BFBFBF"/>
            </w:tcBorders>
            <w:vAlign w:val="center"/>
          </w:tcPr>
          <w:p>
            <w:r>
              <w:rPr>
                <w:rFonts w:ascii="Calibri" w:hAnsi="Calibri"/>
                <w:sz w:val="20"/>
              </w:rPr>
              <w:t>Marge sur coût variable</w:t>
            </w:r>
          </w:p>
        </w:tc>
        <w:tc>
          <w:tcPr>
            <w:tcW w:type="dxa" w:w="4252"/>
            <w:shd w:val="clear" w:color="auto" w:fill="F2F2F2"/>
            <w:tcBorders>
              <w:top w:val="single" w:sz="4" w:color="BFBFBF"/>
              <w:left w:val="single" w:sz="4" w:color="BFBFBF"/>
              <w:bottom w:val="single" w:sz="4" w:color="BFBFBF"/>
              <w:right w:val="single" w:sz="4" w:color="BFBFBF"/>
            </w:tcBorders>
            <w:vAlign w:val="center"/>
          </w:tcPr>
          <w:p>
            <w:r>
              <w:rPr>
                <w:rFonts w:ascii="Calibri" w:hAnsi="Calibri"/>
                <w:sz w:val="20"/>
              </w:rPr>
              <w:t>Prix vente - Coût variable unitaire</w:t>
            </w:r>
          </w:p>
        </w:tc>
        <w:tc>
          <w:tcPr>
            <w:tcW w:type="dxa" w:w="1984"/>
            <w:shd w:val="clear" w:color="auto" w:fill="F2F2F2"/>
            <w:tcBorders>
              <w:top w:val="single" w:sz="4" w:color="BFBFBF"/>
              <w:left w:val="single" w:sz="4" w:color="BFBFBF"/>
              <w:bottom w:val="single" w:sz="4" w:color="BFBFBF"/>
              <w:right w:val="single" w:sz="4" w:color="BFBFBF"/>
            </w:tcBorders>
            <w:vAlign w:val="center"/>
          </w:tcPr>
          <w:p>
            <w:r>
              <w:rPr>
                <w:rFonts w:ascii="Calibri" w:hAnsi="Calibri"/>
                <w:sz w:val="20"/>
              </w:rPr>
              <w:t>Décision pricing</w:t>
            </w:r>
          </w:p>
        </w:tc>
      </w:tr>
      <w:tr>
        <w:tc>
          <w:tcPr>
            <w:tcW w:type="dxa" w:w="2835"/>
            <w:tcBorders>
              <w:top w:val="single" w:sz="4" w:color="BFBFBF"/>
              <w:left w:val="single" w:sz="4" w:color="BFBFBF"/>
              <w:bottom w:val="single" w:sz="4" w:color="BFBFBF"/>
              <w:right w:val="single" w:sz="4" w:color="BFBFBF"/>
            </w:tcBorders>
            <w:vAlign w:val="center"/>
          </w:tcPr>
          <w:p>
            <w:r>
              <w:rPr>
                <w:rFonts w:ascii="Calibri" w:hAnsi="Calibri"/>
                <w:sz w:val="20"/>
              </w:rPr>
              <w:t>Point mort (CA)</w:t>
            </w:r>
          </w:p>
        </w:tc>
        <w:tc>
          <w:tcPr>
            <w:tcW w:type="dxa" w:w="4252"/>
            <w:tcBorders>
              <w:top w:val="single" w:sz="4" w:color="BFBFBF"/>
              <w:left w:val="single" w:sz="4" w:color="BFBFBF"/>
              <w:bottom w:val="single" w:sz="4" w:color="BFBFBF"/>
              <w:right w:val="single" w:sz="4" w:color="BFBFBF"/>
            </w:tcBorders>
            <w:vAlign w:val="center"/>
          </w:tcPr>
          <w:p>
            <w:r>
              <w:rPr>
                <w:rFonts w:ascii="Calibri" w:hAnsi="Calibri"/>
                <w:sz w:val="20"/>
              </w:rPr>
              <w:t>Charges fixes / Taux marge sur CV</w:t>
            </w:r>
          </w:p>
        </w:tc>
        <w:tc>
          <w:tcPr>
            <w:tcW w:type="dxa" w:w="1984"/>
            <w:tcBorders>
              <w:top w:val="single" w:sz="4" w:color="BFBFBF"/>
              <w:left w:val="single" w:sz="4" w:color="BFBFBF"/>
              <w:bottom w:val="single" w:sz="4" w:color="BFBFBF"/>
              <w:right w:val="single" w:sz="4" w:color="BFBFBF"/>
            </w:tcBorders>
            <w:vAlign w:val="center"/>
          </w:tcPr>
          <w:p>
            <w:r>
              <w:rPr>
                <w:rFonts w:ascii="Calibri" w:hAnsi="Calibri"/>
                <w:sz w:val="20"/>
              </w:rPr>
              <w:t>Seuil de rentabilité</w:t>
            </w:r>
          </w:p>
        </w:tc>
      </w:tr>
      <w:tr>
        <w:tc>
          <w:tcPr>
            <w:tcW w:type="dxa" w:w="2835"/>
            <w:shd w:val="clear" w:color="auto" w:fill="F2F2F2"/>
            <w:tcBorders>
              <w:top w:val="single" w:sz="4" w:color="BFBFBF"/>
              <w:left w:val="single" w:sz="4" w:color="BFBFBF"/>
              <w:bottom w:val="single" w:sz="4" w:color="BFBFBF"/>
              <w:right w:val="single" w:sz="4" w:color="BFBFBF"/>
            </w:tcBorders>
            <w:vAlign w:val="center"/>
          </w:tcPr>
          <w:p>
            <w:r>
              <w:rPr>
                <w:rFonts w:ascii="Calibri" w:hAnsi="Calibri"/>
                <w:sz w:val="20"/>
              </w:rPr>
              <w:t>Rotation MP / en-cours / PF</w:t>
            </w:r>
          </w:p>
        </w:tc>
        <w:tc>
          <w:tcPr>
            <w:tcW w:type="dxa" w:w="4252"/>
            <w:shd w:val="clear" w:color="auto" w:fill="F2F2F2"/>
            <w:tcBorders>
              <w:top w:val="single" w:sz="4" w:color="BFBFBF"/>
              <w:left w:val="single" w:sz="4" w:color="BFBFBF"/>
              <w:bottom w:val="single" w:sz="4" w:color="BFBFBF"/>
              <w:right w:val="single" w:sz="4" w:color="BFBFBF"/>
            </w:tcBorders>
            <w:vAlign w:val="center"/>
          </w:tcPr>
          <w:p>
            <w:r>
              <w:rPr>
                <w:rFonts w:ascii="Calibri" w:hAnsi="Calibri"/>
                <w:sz w:val="20"/>
              </w:rPr>
              <w:t>Stock moyen × 365 / Consommation</w:t>
            </w:r>
          </w:p>
        </w:tc>
        <w:tc>
          <w:tcPr>
            <w:tcW w:type="dxa" w:w="1984"/>
            <w:shd w:val="clear" w:color="auto" w:fill="F2F2F2"/>
            <w:tcBorders>
              <w:top w:val="single" w:sz="4" w:color="BFBFBF"/>
              <w:left w:val="single" w:sz="4" w:color="BFBFBF"/>
              <w:bottom w:val="single" w:sz="4" w:color="BFBFBF"/>
              <w:right w:val="single" w:sz="4" w:color="BFBFBF"/>
            </w:tcBorders>
            <w:vAlign w:val="center"/>
          </w:tcPr>
          <w:p>
            <w:r>
              <w:rPr>
                <w:rFonts w:ascii="Calibri" w:hAnsi="Calibri"/>
                <w:sz w:val="20"/>
              </w:rPr>
              <w:t>Cash management</w:t>
            </w:r>
          </w:p>
        </w:tc>
      </w:tr>
    </w:tbl>
    <w:p>
      <w:pPr>
        <w:spacing w:after="120"/>
      </w:pPr>
    </w:p>
    <w:p>
      <w:pPr>
        <w:pStyle w:val="Heading3"/>
        <w:spacing w:before="180" w:after="120"/>
      </w:pPr>
      <w:r>
        <w:rPr>
          <w:rFonts w:ascii="Calibri" w:hAnsi="Calibri"/>
          <w:b/>
          <w:color w:val="0A2540"/>
          <w:sz w:val="26"/>
        </w:rPr>
        <w:t>KPIs et indicateurs sectoriels</w:t>
      </w:r>
    </w:p>
    <w:p>
      <w:pPr>
        <w:pStyle w:val="ListBullet"/>
        <w:spacing w:after="60"/>
        <w:ind w:left="340"/>
      </w:pPr>
      <w:r>
        <w:rPr>
          <w:rFonts w:ascii="Calibri" w:hAnsi="Calibri"/>
          <w:sz w:val="22"/>
        </w:rPr>
        <w:t>Production : volume produit, taux d'utilisation capacité, OEE, taux de rebut, productivité MOD</w:t>
      </w:r>
    </w:p>
    <w:p>
      <w:pPr>
        <w:pStyle w:val="ListBullet"/>
        <w:spacing w:after="60"/>
        <w:ind w:left="340"/>
      </w:pPr>
      <w:r>
        <w:rPr>
          <w:rFonts w:ascii="Calibri" w:hAnsi="Calibri"/>
          <w:sz w:val="22"/>
        </w:rPr>
        <w:t>Coûts : coût de revient unitaire (par SKU), écarts coûts standards / réels, structure MP/MOD/FG</w:t>
      </w:r>
    </w:p>
    <w:p>
      <w:pPr>
        <w:pStyle w:val="ListBullet"/>
        <w:spacing w:after="60"/>
        <w:ind w:left="340"/>
      </w:pPr>
      <w:r>
        <w:rPr>
          <w:rFonts w:ascii="Calibri" w:hAnsi="Calibri"/>
          <w:sz w:val="22"/>
        </w:rPr>
        <w:t>Stocks : rotation MP, rotation WIP, rotation PF, taux de péremption / obsolescence</w:t>
      </w:r>
    </w:p>
    <w:p>
      <w:pPr>
        <w:pStyle w:val="ListBullet"/>
        <w:spacing w:after="60"/>
        <w:ind w:left="340"/>
      </w:pPr>
      <w:r>
        <w:rPr>
          <w:rFonts w:ascii="Calibri" w:hAnsi="Calibri"/>
          <w:sz w:val="22"/>
        </w:rPr>
        <w:t>Commercial : CA, marge brute, marge unitaire, mix produits</w:t>
      </w:r>
    </w:p>
    <w:p>
      <w:pPr>
        <w:pStyle w:val="ListBullet"/>
        <w:spacing w:after="60"/>
        <w:ind w:left="340"/>
      </w:pPr>
      <w:r>
        <w:rPr>
          <w:rFonts w:ascii="Calibri" w:hAnsi="Calibri"/>
          <w:sz w:val="22"/>
        </w:rPr>
        <w:t>Rentabilité : EBITDA, marge EBITDA, ROE, ROCE</w:t>
      </w:r>
    </w:p>
    <w:p>
      <w:pPr>
        <w:pStyle w:val="ListBullet"/>
        <w:spacing w:after="60"/>
        <w:ind w:left="340"/>
      </w:pPr>
      <w:r>
        <w:rPr>
          <w:rFonts w:ascii="Calibri" w:hAnsi="Calibri"/>
          <w:sz w:val="22"/>
        </w:rPr>
        <w:t>Trésorerie : BFR/CA (jours), FCF, couverture CAPEX</w:t>
      </w:r>
    </w:p>
    <w:p>
      <w:pPr>
        <w:pStyle w:val="ListBullet"/>
        <w:spacing w:after="60"/>
        <w:ind w:left="340"/>
      </w:pPr>
      <w:r>
        <w:rPr>
          <w:rFonts w:ascii="Calibri" w:hAnsi="Calibri"/>
          <w:sz w:val="22"/>
        </w:rPr>
        <w:t>Qualité : taux de non-conformité, taux de retour, coût qualité (interne + externe)</w:t>
      </w:r>
    </w:p>
    <w:p>
      <w:pPr>
        <w:pStyle w:val="Heading3"/>
        <w:spacing w:before="180" w:after="120"/>
      </w:pPr>
      <w:r>
        <w:rPr>
          <w:rFonts w:ascii="Calibri" w:hAnsi="Calibri"/>
          <w:b/>
          <w:color w:val="0A2540"/>
          <w:sz w:val="26"/>
        </w:rPr>
        <w:t>Structure du template Industrie</w:t>
      </w:r>
    </w:p>
    <w:p>
      <w:pPr>
        <w:spacing w:before="0" w:after="120"/>
        <w:jc w:val="both"/>
      </w:pPr>
      <w:r>
        <w:rPr>
          <w:rFonts w:ascii="Calibri" w:hAnsi="Calibri"/>
          <w:b w:val="0"/>
          <w:i w:val="0"/>
          <w:color w:val="000000"/>
          <w:sz w:val="22"/>
        </w:rPr>
        <w:t>Le template Industrie comporte 13 feuilles : Notice, Hypothèses, Catalogue &amp; nomenclatures, Plan de production &amp; capacité (OEE), Achats MP &amp; stocks MP, En-cours &amp; produits finis, Coûts directs (MP+MOD+FG), Coûts standards &amp; écarts, CAPEX industriel, Charges fixes &amp; RH, P&amp;L, Bilan, Trésorerie &amp; KPIs.</w:t>
      </w:r>
    </w:p>
    <w:p>
      <w:pPr>
        <w:pStyle w:val="Heading2"/>
        <w:spacing w:before="240" w:after="120"/>
      </w:pPr>
      <w:r>
        <w:rPr>
          <w:rFonts w:ascii="Calibri" w:hAnsi="Calibri"/>
          <w:b/>
          <w:color w:val="0A2540"/>
          <w:sz w:val="30"/>
        </w:rPr>
        <w:t>5.6 Fintech et services financiers numériques</w:t>
      </w:r>
    </w:p>
    <w:p>
      <w:pPr>
        <w:pStyle w:val="Heading3"/>
        <w:spacing w:before="180" w:after="120"/>
      </w:pPr>
      <w:r>
        <w:rPr>
          <w:rFonts w:ascii="Calibri" w:hAnsi="Calibri"/>
          <w:b/>
          <w:color w:val="0A2540"/>
          <w:sz w:val="26"/>
        </w:rPr>
        <w:t>Description du secteur</w:t>
      </w:r>
    </w:p>
    <w:p>
      <w:pPr>
        <w:spacing w:before="0" w:after="120"/>
        <w:jc w:val="both"/>
      </w:pPr>
      <w:r>
        <w:rPr>
          <w:rFonts w:ascii="Calibri" w:hAnsi="Calibri"/>
          <w:b w:val="0"/>
          <w:i w:val="0"/>
          <w:color w:val="000000"/>
          <w:sz w:val="22"/>
        </w:rPr>
        <w:t>La Fintech en Afrique francophone est portée par l'inclusion financière (mobile money) et la digitalisation des paiements. Quatre sous-secteurs dominent : paiements (mobile money, wallets, agrégateurs), lending (crédit digital, BNPL, microcrédit), insurtech (assurance digitale), et wealthtech (épargne, investissement digital). Modèles SaaS B2B (RegTech, infrastructure) en croissance également. La Fintech se modélise selon les codes du SaaS et des marketplaces, avec spécificités du secteur financier.</w:t>
      </w:r>
    </w:p>
    <w:p>
      <w:pPr>
        <w:pStyle w:val="Heading3"/>
        <w:spacing w:before="180" w:after="120"/>
      </w:pPr>
      <w:r>
        <w:rPr>
          <w:rFonts w:ascii="Calibri" w:hAnsi="Calibri"/>
          <w:b/>
          <w:color w:val="0A2540"/>
          <w:sz w:val="26"/>
        </w:rPr>
        <w:t>Sous-secteurs et variantes</w:t>
      </w:r>
    </w:p>
    <w:tbl>
      <w:tblPr>
        <w:tblW w:type="auto" w:w="0"/>
        <w:jc w:val="center"/>
        <w:tblLayout w:type="fixed"/>
        <w:tblLook w:firstColumn="1" w:firstRow="1" w:lastColumn="0" w:lastRow="0" w:noHBand="0" w:noVBand="1" w:val="04A0"/>
      </w:tblPr>
      <w:tblGrid>
        <w:gridCol w:w="3135"/>
        <w:gridCol w:w="3135"/>
        <w:gridCol w:w="3135"/>
      </w:tblGrid>
      <w:tr>
        <w:tc>
          <w:tcPr>
            <w:tcW w:type="dxa" w:w="2551"/>
            <w:shd w:val="clear" w:color="auto" w:fill="0A2540"/>
            <w:tcBorders>
              <w:top w:val="single" w:sz="4" w:color="BFBFBF"/>
              <w:left w:val="single" w:sz="4" w:color="BFBFBF"/>
              <w:bottom w:val="single" w:sz="4" w:color="BFBFBF"/>
              <w:right w:val="single" w:sz="4" w:color="BFBFBF"/>
            </w:tcBorders>
            <w:vAlign w:val="center"/>
          </w:tcPr>
          <w:p>
            <w:pPr>
              <w:jc w:val="center"/>
            </w:pPr>
            <w:r>
              <w:rPr>
                <w:rFonts w:ascii="Calibri" w:hAnsi="Calibri"/>
                <w:b/>
                <w:color w:val="FFFFFF"/>
                <w:sz w:val="20"/>
              </w:rPr>
              <w:t>Sous-secteur</w:t>
            </w:r>
          </w:p>
        </w:tc>
        <w:tc>
          <w:tcPr>
            <w:tcW w:type="dxa" w:w="3402"/>
            <w:shd w:val="clear" w:color="auto" w:fill="0A2540"/>
            <w:tcBorders>
              <w:top w:val="single" w:sz="4" w:color="BFBFBF"/>
              <w:left w:val="single" w:sz="4" w:color="BFBFBF"/>
              <w:bottom w:val="single" w:sz="4" w:color="BFBFBF"/>
              <w:right w:val="single" w:sz="4" w:color="BFBFBF"/>
            </w:tcBorders>
            <w:vAlign w:val="center"/>
          </w:tcPr>
          <w:p>
            <w:pPr>
              <w:jc w:val="center"/>
            </w:pPr>
            <w:r>
              <w:rPr>
                <w:rFonts w:ascii="Calibri" w:hAnsi="Calibri"/>
                <w:b/>
                <w:color w:val="FFFFFF"/>
                <w:sz w:val="20"/>
              </w:rPr>
              <w:t>Source de revenus</w:t>
            </w:r>
          </w:p>
        </w:tc>
        <w:tc>
          <w:tcPr>
            <w:tcW w:type="dxa" w:w="3118"/>
            <w:shd w:val="clear" w:color="auto" w:fill="0A2540"/>
            <w:tcBorders>
              <w:top w:val="single" w:sz="4" w:color="BFBFBF"/>
              <w:left w:val="single" w:sz="4" w:color="BFBFBF"/>
              <w:bottom w:val="single" w:sz="4" w:color="BFBFBF"/>
              <w:right w:val="single" w:sz="4" w:color="BFBFBF"/>
            </w:tcBorders>
            <w:vAlign w:val="center"/>
          </w:tcPr>
          <w:p>
            <w:pPr>
              <w:jc w:val="center"/>
            </w:pPr>
            <w:r>
              <w:rPr>
                <w:rFonts w:ascii="Calibri" w:hAnsi="Calibri"/>
                <w:b/>
                <w:color w:val="FFFFFF"/>
                <w:sz w:val="20"/>
              </w:rPr>
              <w:t>Métriques critiques</w:t>
            </w:r>
          </w:p>
        </w:tc>
      </w:tr>
      <w:tr>
        <w:tc>
          <w:tcPr>
            <w:tcW w:type="dxa" w:w="2551"/>
            <w:tcBorders>
              <w:top w:val="single" w:sz="4" w:color="BFBFBF"/>
              <w:left w:val="single" w:sz="4" w:color="BFBFBF"/>
              <w:bottom w:val="single" w:sz="4" w:color="BFBFBF"/>
              <w:right w:val="single" w:sz="4" w:color="BFBFBF"/>
            </w:tcBorders>
            <w:vAlign w:val="center"/>
          </w:tcPr>
          <w:p>
            <w:r>
              <w:rPr>
                <w:rFonts w:ascii="Calibri" w:hAnsi="Calibri"/>
                <w:sz w:val="20"/>
              </w:rPr>
              <w:t>Paiement (mobile money, wallet)</w:t>
            </w:r>
          </w:p>
        </w:tc>
        <w:tc>
          <w:tcPr>
            <w:tcW w:type="dxa" w:w="3402"/>
            <w:tcBorders>
              <w:top w:val="single" w:sz="4" w:color="BFBFBF"/>
              <w:left w:val="single" w:sz="4" w:color="BFBFBF"/>
              <w:bottom w:val="single" w:sz="4" w:color="BFBFBF"/>
              <w:right w:val="single" w:sz="4" w:color="BFBFBF"/>
            </w:tcBorders>
            <w:vAlign w:val="center"/>
          </w:tcPr>
          <w:p>
            <w:r>
              <w:rPr>
                <w:rFonts w:ascii="Calibri" w:hAnsi="Calibri"/>
                <w:sz w:val="20"/>
              </w:rPr>
              <w:t>Commission par transaction (% ou flat)</w:t>
            </w:r>
          </w:p>
        </w:tc>
        <w:tc>
          <w:tcPr>
            <w:tcW w:type="dxa" w:w="3118"/>
            <w:tcBorders>
              <w:top w:val="single" w:sz="4" w:color="BFBFBF"/>
              <w:left w:val="single" w:sz="4" w:color="BFBFBF"/>
              <w:bottom w:val="single" w:sz="4" w:color="BFBFBF"/>
              <w:right w:val="single" w:sz="4" w:color="BFBFBF"/>
            </w:tcBorders>
            <w:vAlign w:val="center"/>
          </w:tcPr>
          <w:p>
            <w:r>
              <w:rPr>
                <w:rFonts w:ascii="Calibri" w:hAnsi="Calibri"/>
                <w:sz w:val="20"/>
              </w:rPr>
              <w:t>GMV, take rate, TPV / agent</w:t>
            </w:r>
          </w:p>
        </w:tc>
      </w:tr>
      <w:tr>
        <w:tc>
          <w:tcPr>
            <w:tcW w:type="dxa" w:w="2551"/>
            <w:shd w:val="clear" w:color="auto" w:fill="F2F2F2"/>
            <w:tcBorders>
              <w:top w:val="single" w:sz="4" w:color="BFBFBF"/>
              <w:left w:val="single" w:sz="4" w:color="BFBFBF"/>
              <w:bottom w:val="single" w:sz="4" w:color="BFBFBF"/>
              <w:right w:val="single" w:sz="4" w:color="BFBFBF"/>
            </w:tcBorders>
            <w:vAlign w:val="center"/>
          </w:tcPr>
          <w:p>
            <w:r>
              <w:rPr>
                <w:rFonts w:ascii="Calibri" w:hAnsi="Calibri"/>
                <w:sz w:val="20"/>
              </w:rPr>
              <w:t>Lending digital</w:t>
            </w:r>
          </w:p>
        </w:tc>
        <w:tc>
          <w:tcPr>
            <w:tcW w:type="dxa" w:w="3402"/>
            <w:shd w:val="clear" w:color="auto" w:fill="F2F2F2"/>
            <w:tcBorders>
              <w:top w:val="single" w:sz="4" w:color="BFBFBF"/>
              <w:left w:val="single" w:sz="4" w:color="BFBFBF"/>
              <w:bottom w:val="single" w:sz="4" w:color="BFBFBF"/>
              <w:right w:val="single" w:sz="4" w:color="BFBFBF"/>
            </w:tcBorders>
            <w:vAlign w:val="center"/>
          </w:tcPr>
          <w:p>
            <w:r>
              <w:rPr>
                <w:rFonts w:ascii="Calibri" w:hAnsi="Calibri"/>
                <w:sz w:val="20"/>
              </w:rPr>
              <w:t>Intérêts sur crédits décaissés</w:t>
            </w:r>
          </w:p>
        </w:tc>
        <w:tc>
          <w:tcPr>
            <w:tcW w:type="dxa" w:w="3118"/>
            <w:shd w:val="clear" w:color="auto" w:fill="F2F2F2"/>
            <w:tcBorders>
              <w:top w:val="single" w:sz="4" w:color="BFBFBF"/>
              <w:left w:val="single" w:sz="4" w:color="BFBFBF"/>
              <w:bottom w:val="single" w:sz="4" w:color="BFBFBF"/>
              <w:right w:val="single" w:sz="4" w:color="BFBFBF"/>
            </w:tcBorders>
            <w:vAlign w:val="center"/>
          </w:tcPr>
          <w:p>
            <w:r>
              <w:rPr>
                <w:rFonts w:ascii="Calibri" w:hAnsi="Calibri"/>
                <w:sz w:val="20"/>
              </w:rPr>
              <w:t>Encours, taux de défaut, LGD, NIM</w:t>
            </w:r>
          </w:p>
        </w:tc>
      </w:tr>
      <w:tr>
        <w:tc>
          <w:tcPr>
            <w:tcW w:type="dxa" w:w="2551"/>
            <w:tcBorders>
              <w:top w:val="single" w:sz="4" w:color="BFBFBF"/>
              <w:left w:val="single" w:sz="4" w:color="BFBFBF"/>
              <w:bottom w:val="single" w:sz="4" w:color="BFBFBF"/>
              <w:right w:val="single" w:sz="4" w:color="BFBFBF"/>
            </w:tcBorders>
            <w:vAlign w:val="center"/>
          </w:tcPr>
          <w:p>
            <w:r>
              <w:rPr>
                <w:rFonts w:ascii="Calibri" w:hAnsi="Calibri"/>
                <w:sz w:val="20"/>
              </w:rPr>
              <w:t>BNPL (Buy Now Pay Later)</w:t>
            </w:r>
          </w:p>
        </w:tc>
        <w:tc>
          <w:tcPr>
            <w:tcW w:type="dxa" w:w="3402"/>
            <w:tcBorders>
              <w:top w:val="single" w:sz="4" w:color="BFBFBF"/>
              <w:left w:val="single" w:sz="4" w:color="BFBFBF"/>
              <w:bottom w:val="single" w:sz="4" w:color="BFBFBF"/>
              <w:right w:val="single" w:sz="4" w:color="BFBFBF"/>
            </w:tcBorders>
            <w:vAlign w:val="center"/>
          </w:tcPr>
          <w:p>
            <w:r>
              <w:rPr>
                <w:rFonts w:ascii="Calibri" w:hAnsi="Calibri"/>
                <w:sz w:val="20"/>
              </w:rPr>
              <w:t>Commission marchand + intérêts client</w:t>
            </w:r>
          </w:p>
        </w:tc>
        <w:tc>
          <w:tcPr>
            <w:tcW w:type="dxa" w:w="3118"/>
            <w:tcBorders>
              <w:top w:val="single" w:sz="4" w:color="BFBFBF"/>
              <w:left w:val="single" w:sz="4" w:color="BFBFBF"/>
              <w:bottom w:val="single" w:sz="4" w:color="BFBFBF"/>
              <w:right w:val="single" w:sz="4" w:color="BFBFBF"/>
            </w:tcBorders>
            <w:vAlign w:val="center"/>
          </w:tcPr>
          <w:p>
            <w:r>
              <w:rPr>
                <w:rFonts w:ascii="Calibri" w:hAnsi="Calibri"/>
                <w:sz w:val="20"/>
              </w:rPr>
              <w:t>Encours, défaut, taux acceptation</w:t>
            </w:r>
          </w:p>
        </w:tc>
      </w:tr>
      <w:tr>
        <w:tc>
          <w:tcPr>
            <w:tcW w:type="dxa" w:w="2551"/>
            <w:shd w:val="clear" w:color="auto" w:fill="F2F2F2"/>
            <w:tcBorders>
              <w:top w:val="single" w:sz="4" w:color="BFBFBF"/>
              <w:left w:val="single" w:sz="4" w:color="BFBFBF"/>
              <w:bottom w:val="single" w:sz="4" w:color="BFBFBF"/>
              <w:right w:val="single" w:sz="4" w:color="BFBFBF"/>
            </w:tcBorders>
            <w:vAlign w:val="center"/>
          </w:tcPr>
          <w:p>
            <w:r>
              <w:rPr>
                <w:rFonts w:ascii="Calibri" w:hAnsi="Calibri"/>
                <w:sz w:val="20"/>
              </w:rPr>
              <w:t>Insurtech</w:t>
            </w:r>
          </w:p>
        </w:tc>
        <w:tc>
          <w:tcPr>
            <w:tcW w:type="dxa" w:w="3402"/>
            <w:shd w:val="clear" w:color="auto" w:fill="F2F2F2"/>
            <w:tcBorders>
              <w:top w:val="single" w:sz="4" w:color="BFBFBF"/>
              <w:left w:val="single" w:sz="4" w:color="BFBFBF"/>
              <w:bottom w:val="single" w:sz="4" w:color="BFBFBF"/>
              <w:right w:val="single" w:sz="4" w:color="BFBFBF"/>
            </w:tcBorders>
            <w:vAlign w:val="center"/>
          </w:tcPr>
          <w:p>
            <w:r>
              <w:rPr>
                <w:rFonts w:ascii="Calibri" w:hAnsi="Calibri"/>
                <w:sz w:val="20"/>
              </w:rPr>
              <w:t>Commissions + parfois souscription</w:t>
            </w:r>
          </w:p>
        </w:tc>
        <w:tc>
          <w:tcPr>
            <w:tcW w:type="dxa" w:w="3118"/>
            <w:shd w:val="clear" w:color="auto" w:fill="F2F2F2"/>
            <w:tcBorders>
              <w:top w:val="single" w:sz="4" w:color="BFBFBF"/>
              <w:left w:val="single" w:sz="4" w:color="BFBFBF"/>
              <w:bottom w:val="single" w:sz="4" w:color="BFBFBF"/>
              <w:right w:val="single" w:sz="4" w:color="BFBFBF"/>
            </w:tcBorders>
            <w:vAlign w:val="center"/>
          </w:tcPr>
          <w:p>
            <w:r>
              <w:rPr>
                <w:rFonts w:ascii="Calibri" w:hAnsi="Calibri"/>
                <w:sz w:val="20"/>
              </w:rPr>
              <w:t>Polices, prime moyenne, persistance</w:t>
            </w:r>
          </w:p>
        </w:tc>
      </w:tr>
      <w:tr>
        <w:tc>
          <w:tcPr>
            <w:tcW w:type="dxa" w:w="2551"/>
            <w:tcBorders>
              <w:top w:val="single" w:sz="4" w:color="BFBFBF"/>
              <w:left w:val="single" w:sz="4" w:color="BFBFBF"/>
              <w:bottom w:val="single" w:sz="4" w:color="BFBFBF"/>
              <w:right w:val="single" w:sz="4" w:color="BFBFBF"/>
            </w:tcBorders>
            <w:vAlign w:val="center"/>
          </w:tcPr>
          <w:p>
            <w:r>
              <w:rPr>
                <w:rFonts w:ascii="Calibri" w:hAnsi="Calibri"/>
                <w:sz w:val="20"/>
              </w:rPr>
              <w:t>Wealthtech</w:t>
            </w:r>
          </w:p>
        </w:tc>
        <w:tc>
          <w:tcPr>
            <w:tcW w:type="dxa" w:w="3402"/>
            <w:tcBorders>
              <w:top w:val="single" w:sz="4" w:color="BFBFBF"/>
              <w:left w:val="single" w:sz="4" w:color="BFBFBF"/>
              <w:bottom w:val="single" w:sz="4" w:color="BFBFBF"/>
              <w:right w:val="single" w:sz="4" w:color="BFBFBF"/>
            </w:tcBorders>
            <w:vAlign w:val="center"/>
          </w:tcPr>
          <w:p>
            <w:r>
              <w:rPr>
                <w:rFonts w:ascii="Calibri" w:hAnsi="Calibri"/>
                <w:sz w:val="20"/>
              </w:rPr>
              <w:t>Fees actifs sous gestion (AUM)</w:t>
            </w:r>
          </w:p>
        </w:tc>
        <w:tc>
          <w:tcPr>
            <w:tcW w:type="dxa" w:w="3118"/>
            <w:tcBorders>
              <w:top w:val="single" w:sz="4" w:color="BFBFBF"/>
              <w:left w:val="single" w:sz="4" w:color="BFBFBF"/>
              <w:bottom w:val="single" w:sz="4" w:color="BFBFBF"/>
              <w:right w:val="single" w:sz="4" w:color="BFBFBF"/>
            </w:tcBorders>
            <w:vAlign w:val="center"/>
          </w:tcPr>
          <w:p>
            <w:r>
              <w:rPr>
                <w:rFonts w:ascii="Calibri" w:hAnsi="Calibri"/>
                <w:sz w:val="20"/>
              </w:rPr>
              <w:t>AUM, fees %, retention, ARPU</w:t>
            </w:r>
          </w:p>
        </w:tc>
      </w:tr>
      <w:tr>
        <w:tc>
          <w:tcPr>
            <w:tcW w:type="dxa" w:w="2551"/>
            <w:shd w:val="clear" w:color="auto" w:fill="F2F2F2"/>
            <w:tcBorders>
              <w:top w:val="single" w:sz="4" w:color="BFBFBF"/>
              <w:left w:val="single" w:sz="4" w:color="BFBFBF"/>
              <w:bottom w:val="single" w:sz="4" w:color="BFBFBF"/>
              <w:right w:val="single" w:sz="4" w:color="BFBFBF"/>
            </w:tcBorders>
            <w:vAlign w:val="center"/>
          </w:tcPr>
          <w:p>
            <w:r>
              <w:rPr>
                <w:rFonts w:ascii="Calibri" w:hAnsi="Calibri"/>
                <w:sz w:val="20"/>
              </w:rPr>
              <w:t>RegTech / SaaS B2B</w:t>
            </w:r>
          </w:p>
        </w:tc>
        <w:tc>
          <w:tcPr>
            <w:tcW w:type="dxa" w:w="3402"/>
            <w:shd w:val="clear" w:color="auto" w:fill="F2F2F2"/>
            <w:tcBorders>
              <w:top w:val="single" w:sz="4" w:color="BFBFBF"/>
              <w:left w:val="single" w:sz="4" w:color="BFBFBF"/>
              <w:bottom w:val="single" w:sz="4" w:color="BFBFBF"/>
              <w:right w:val="single" w:sz="4" w:color="BFBFBF"/>
            </w:tcBorders>
            <w:vAlign w:val="center"/>
          </w:tcPr>
          <w:p>
            <w:r>
              <w:rPr>
                <w:rFonts w:ascii="Calibri" w:hAnsi="Calibri"/>
                <w:sz w:val="20"/>
              </w:rPr>
              <w:t>Abonnement, % volume traité</w:t>
            </w:r>
          </w:p>
        </w:tc>
        <w:tc>
          <w:tcPr>
            <w:tcW w:type="dxa" w:w="3118"/>
            <w:shd w:val="clear" w:color="auto" w:fill="F2F2F2"/>
            <w:tcBorders>
              <w:top w:val="single" w:sz="4" w:color="BFBFBF"/>
              <w:left w:val="single" w:sz="4" w:color="BFBFBF"/>
              <w:bottom w:val="single" w:sz="4" w:color="BFBFBF"/>
              <w:right w:val="single" w:sz="4" w:color="BFBFBF"/>
            </w:tcBorders>
            <w:vAlign w:val="center"/>
          </w:tcPr>
          <w:p>
            <w:r>
              <w:rPr>
                <w:rFonts w:ascii="Calibri" w:hAnsi="Calibri"/>
                <w:sz w:val="20"/>
              </w:rPr>
              <w:t>ARR, NRR, churn, LTV/CAC</w:t>
            </w:r>
          </w:p>
        </w:tc>
      </w:tr>
    </w:tbl>
    <w:p>
      <w:pPr>
        <w:spacing w:after="120"/>
      </w:pPr>
    </w:p>
    <w:p>
      <w:pPr>
        <w:pStyle w:val="Heading3"/>
        <w:spacing w:before="180" w:after="120"/>
      </w:pPr>
      <w:r>
        <w:rPr>
          <w:rFonts w:ascii="Calibri" w:hAnsi="Calibri"/>
          <w:b/>
          <w:color w:val="0A2540"/>
          <w:sz w:val="26"/>
        </w:rPr>
        <w:t>Spécificités fiscales et réglementaires</w:t>
      </w:r>
    </w:p>
    <w:p>
      <w:pPr>
        <w:pStyle w:val="ListBullet"/>
        <w:spacing w:after="60"/>
        <w:ind w:left="340"/>
      </w:pPr>
      <w:r>
        <w:rPr>
          <w:rFonts w:ascii="Calibri" w:hAnsi="Calibri"/>
          <w:sz w:val="22"/>
        </w:rPr>
        <w:t>Régime BCEAO / BEAC pour les établissements de monnaie électronique (EME) : licence, capital min, ratios prudentiels</w:t>
      </w:r>
    </w:p>
    <w:p>
      <w:pPr>
        <w:pStyle w:val="ListBullet"/>
        <w:spacing w:after="60"/>
        <w:ind w:left="340"/>
      </w:pPr>
      <w:r>
        <w:rPr>
          <w:rFonts w:ascii="Calibri" w:hAnsi="Calibri"/>
          <w:sz w:val="22"/>
        </w:rPr>
        <w:t>Pour les établissements de paiement : régulation BCEAO et règles spécifiques de l'interopérabilité</w:t>
      </w:r>
    </w:p>
    <w:p>
      <w:pPr>
        <w:pStyle w:val="ListBullet"/>
        <w:spacing w:after="60"/>
        <w:ind w:left="340"/>
      </w:pPr>
      <w:r>
        <w:rPr>
          <w:rFonts w:ascii="Calibri" w:hAnsi="Calibri"/>
          <w:sz w:val="22"/>
        </w:rPr>
        <w:t>Pour le lending : selon montant et nature, régime IMF (institutions de microfinance), banques classiques, ou opérations sans collecte de dépôts</w:t>
      </w:r>
    </w:p>
    <w:p>
      <w:pPr>
        <w:pStyle w:val="ListBullet"/>
        <w:spacing w:after="60"/>
        <w:ind w:left="340"/>
      </w:pPr>
      <w:r>
        <w:rPr>
          <w:rFonts w:ascii="Calibri" w:hAnsi="Calibri"/>
          <w:sz w:val="22"/>
        </w:rPr>
        <w:t>Réglementation KYC/AML obligatoire avec coûts opérationnels significatifs</w:t>
      </w:r>
    </w:p>
    <w:p>
      <w:pPr>
        <w:pStyle w:val="ListBullet"/>
        <w:spacing w:after="60"/>
        <w:ind w:left="340"/>
      </w:pPr>
      <w:r>
        <w:rPr>
          <w:rFonts w:ascii="Calibri" w:hAnsi="Calibri"/>
          <w:sz w:val="22"/>
        </w:rPr>
        <w:t>Protection des données : RGPD européen pour cross-border, lois locales en harmonisation</w:t>
      </w:r>
    </w:p>
    <w:p>
      <w:pPr>
        <w:pStyle w:val="ListBullet"/>
        <w:spacing w:after="60"/>
        <w:ind w:left="340"/>
      </w:pPr>
      <w:r>
        <w:rPr>
          <w:rFonts w:ascii="Calibri" w:hAnsi="Calibri"/>
          <w:sz w:val="22"/>
        </w:rPr>
        <w:t>Régime fiscal : IS standard, mais possibilité de régimes start-up dans certains pays (Côte d'Ivoire, Sénégal)</w:t>
      </w:r>
    </w:p>
    <w:p>
      <w:pPr>
        <w:pStyle w:val="ListBullet"/>
        <w:spacing w:after="60"/>
        <w:ind w:left="340"/>
      </w:pPr>
      <w:r>
        <w:rPr>
          <w:rFonts w:ascii="Calibri" w:hAnsi="Calibri"/>
          <w:sz w:val="22"/>
        </w:rPr>
        <w:t>Taxe sur opérations financières (TAF) : 10-17% selon pays sur certaines opérations</w:t>
      </w:r>
    </w:p>
    <w:p>
      <w:pPr>
        <w:pStyle w:val="Heading3"/>
        <w:spacing w:before="180" w:after="120"/>
      </w:pPr>
      <w:r>
        <w:rPr>
          <w:rFonts w:ascii="Calibri" w:hAnsi="Calibri"/>
          <w:b/>
          <w:color w:val="0A2540"/>
          <w:sz w:val="26"/>
        </w:rPr>
        <w:t>Modèle de revenus et économie unitaire</w:t>
      </w:r>
    </w:p>
    <w:p>
      <w:pPr>
        <w:spacing w:before="0" w:after="120"/>
        <w:jc w:val="both"/>
      </w:pPr>
      <w:r>
        <w:rPr>
          <w:rFonts w:ascii="Calibri" w:hAnsi="Calibri"/>
          <w:b w:val="0"/>
          <w:i w:val="0"/>
          <w:color w:val="000000"/>
          <w:sz w:val="22"/>
        </w:rPr>
        <w:t>La fintech, comme le SaaS, se modélise par cohortes et par unit economics. Le revenu est récurrent ou transactionnel. Les ratios CAC, LTV, LTV/CAC et payback period sont centraux.</w:t>
      </w:r>
    </w:p>
    <w:tbl>
      <w:tblPr>
        <w:tblW w:type="auto" w:w="0"/>
        <w:jc w:val="center"/>
        <w:tblLayout w:type="fixed"/>
        <w:tblLook w:firstColumn="1" w:firstRow="1" w:lastColumn="0" w:lastRow="0" w:noHBand="0" w:noVBand="1" w:val="04A0"/>
      </w:tblPr>
      <w:tblGrid>
        <w:gridCol w:w="3135"/>
        <w:gridCol w:w="3135"/>
        <w:gridCol w:w="3135"/>
      </w:tblGrid>
      <w:tr>
        <w:tc>
          <w:tcPr>
            <w:tcW w:type="dxa" w:w="2268"/>
            <w:shd w:val="clear" w:color="auto" w:fill="0A2540"/>
            <w:tcBorders>
              <w:top w:val="single" w:sz="4" w:color="BFBFBF"/>
              <w:left w:val="single" w:sz="4" w:color="BFBFBF"/>
              <w:bottom w:val="single" w:sz="4" w:color="BFBFBF"/>
              <w:right w:val="single" w:sz="4" w:color="BFBFBF"/>
            </w:tcBorders>
            <w:vAlign w:val="center"/>
          </w:tcPr>
          <w:p>
            <w:pPr>
              <w:jc w:val="center"/>
            </w:pPr>
            <w:r>
              <w:rPr>
                <w:rFonts w:ascii="Calibri" w:hAnsi="Calibri"/>
                <w:b/>
                <w:color w:val="FFFFFF"/>
                <w:sz w:val="20"/>
              </w:rPr>
              <w:t>Métrique</w:t>
            </w:r>
          </w:p>
        </w:tc>
        <w:tc>
          <w:tcPr>
            <w:tcW w:type="dxa" w:w="4252"/>
            <w:shd w:val="clear" w:color="auto" w:fill="0A2540"/>
            <w:tcBorders>
              <w:top w:val="single" w:sz="4" w:color="BFBFBF"/>
              <w:left w:val="single" w:sz="4" w:color="BFBFBF"/>
              <w:bottom w:val="single" w:sz="4" w:color="BFBFBF"/>
              <w:right w:val="single" w:sz="4" w:color="BFBFBF"/>
            </w:tcBorders>
            <w:vAlign w:val="center"/>
          </w:tcPr>
          <w:p>
            <w:pPr>
              <w:jc w:val="center"/>
            </w:pPr>
            <w:r>
              <w:rPr>
                <w:rFonts w:ascii="Calibri" w:hAnsi="Calibri"/>
                <w:b/>
                <w:color w:val="FFFFFF"/>
                <w:sz w:val="20"/>
              </w:rPr>
              <w:t>Définition</w:t>
            </w:r>
          </w:p>
        </w:tc>
        <w:tc>
          <w:tcPr>
            <w:tcW w:type="dxa" w:w="2551"/>
            <w:shd w:val="clear" w:color="auto" w:fill="0A2540"/>
            <w:tcBorders>
              <w:top w:val="single" w:sz="4" w:color="BFBFBF"/>
              <w:left w:val="single" w:sz="4" w:color="BFBFBF"/>
              <w:bottom w:val="single" w:sz="4" w:color="BFBFBF"/>
              <w:right w:val="single" w:sz="4" w:color="BFBFBF"/>
            </w:tcBorders>
            <w:vAlign w:val="center"/>
          </w:tcPr>
          <w:p>
            <w:pPr>
              <w:jc w:val="center"/>
            </w:pPr>
            <w:r>
              <w:rPr>
                <w:rFonts w:ascii="Calibri" w:hAnsi="Calibri"/>
                <w:b/>
                <w:color w:val="FFFFFF"/>
                <w:sz w:val="20"/>
              </w:rPr>
              <w:t>Niveau d'acceptabilité</w:t>
            </w:r>
          </w:p>
        </w:tc>
      </w:tr>
      <w:tr>
        <w:tc>
          <w:tcPr>
            <w:tcW w:type="dxa" w:w="2268"/>
            <w:tcBorders>
              <w:top w:val="single" w:sz="4" w:color="BFBFBF"/>
              <w:left w:val="single" w:sz="4" w:color="BFBFBF"/>
              <w:bottom w:val="single" w:sz="4" w:color="BFBFBF"/>
              <w:right w:val="single" w:sz="4" w:color="BFBFBF"/>
            </w:tcBorders>
            <w:vAlign w:val="center"/>
          </w:tcPr>
          <w:p>
            <w:r>
              <w:rPr>
                <w:rFonts w:ascii="Calibri" w:hAnsi="Calibri"/>
                <w:sz w:val="20"/>
              </w:rPr>
              <w:t>MRR / ARR</w:t>
            </w:r>
          </w:p>
        </w:tc>
        <w:tc>
          <w:tcPr>
            <w:tcW w:type="dxa" w:w="4252"/>
            <w:tcBorders>
              <w:top w:val="single" w:sz="4" w:color="BFBFBF"/>
              <w:left w:val="single" w:sz="4" w:color="BFBFBF"/>
              <w:bottom w:val="single" w:sz="4" w:color="BFBFBF"/>
              <w:right w:val="single" w:sz="4" w:color="BFBFBF"/>
            </w:tcBorders>
            <w:vAlign w:val="center"/>
          </w:tcPr>
          <w:p>
            <w:r>
              <w:rPr>
                <w:rFonts w:ascii="Calibri" w:hAnsi="Calibri"/>
                <w:sz w:val="20"/>
              </w:rPr>
              <w:t>Monthly / Annual Recurring Revenue</w:t>
            </w:r>
          </w:p>
        </w:tc>
        <w:tc>
          <w:tcPr>
            <w:tcW w:type="dxa" w:w="2551"/>
            <w:tcBorders>
              <w:top w:val="single" w:sz="4" w:color="BFBFBF"/>
              <w:left w:val="single" w:sz="4" w:color="BFBFBF"/>
              <w:bottom w:val="single" w:sz="4" w:color="BFBFBF"/>
              <w:right w:val="single" w:sz="4" w:color="BFBFBF"/>
            </w:tcBorders>
            <w:vAlign w:val="center"/>
          </w:tcPr>
          <w:p>
            <w:r>
              <w:rPr>
                <w:rFonts w:ascii="Calibri" w:hAnsi="Calibri"/>
                <w:sz w:val="20"/>
              </w:rPr>
              <w:t>Croissance soutenable</w:t>
            </w:r>
          </w:p>
        </w:tc>
      </w:tr>
      <w:tr>
        <w:tc>
          <w:tcPr>
            <w:tcW w:type="dxa" w:w="2268"/>
            <w:shd w:val="clear" w:color="auto" w:fill="F2F2F2"/>
            <w:tcBorders>
              <w:top w:val="single" w:sz="4" w:color="BFBFBF"/>
              <w:left w:val="single" w:sz="4" w:color="BFBFBF"/>
              <w:bottom w:val="single" w:sz="4" w:color="BFBFBF"/>
              <w:right w:val="single" w:sz="4" w:color="BFBFBF"/>
            </w:tcBorders>
            <w:vAlign w:val="center"/>
          </w:tcPr>
          <w:p>
            <w:r>
              <w:rPr>
                <w:rFonts w:ascii="Calibri" w:hAnsi="Calibri"/>
                <w:sz w:val="20"/>
              </w:rPr>
              <w:t>NRR (Net Revenue Retention)</w:t>
            </w:r>
          </w:p>
        </w:tc>
        <w:tc>
          <w:tcPr>
            <w:tcW w:type="dxa" w:w="4252"/>
            <w:shd w:val="clear" w:color="auto" w:fill="F2F2F2"/>
            <w:tcBorders>
              <w:top w:val="single" w:sz="4" w:color="BFBFBF"/>
              <w:left w:val="single" w:sz="4" w:color="BFBFBF"/>
              <w:bottom w:val="single" w:sz="4" w:color="BFBFBF"/>
              <w:right w:val="single" w:sz="4" w:color="BFBFBF"/>
            </w:tcBorders>
            <w:vAlign w:val="center"/>
          </w:tcPr>
          <w:p>
            <w:r>
              <w:rPr>
                <w:rFonts w:ascii="Calibri" w:hAnsi="Calibri"/>
                <w:sz w:val="20"/>
              </w:rPr>
              <w:t>Revenu cohorte t / Revenu cohorte t-1</w:t>
            </w:r>
          </w:p>
        </w:tc>
        <w:tc>
          <w:tcPr>
            <w:tcW w:type="dxa" w:w="2551"/>
            <w:shd w:val="clear" w:color="auto" w:fill="F2F2F2"/>
            <w:tcBorders>
              <w:top w:val="single" w:sz="4" w:color="BFBFBF"/>
              <w:left w:val="single" w:sz="4" w:color="BFBFBF"/>
              <w:bottom w:val="single" w:sz="4" w:color="BFBFBF"/>
              <w:right w:val="single" w:sz="4" w:color="BFBFBF"/>
            </w:tcBorders>
            <w:vAlign w:val="center"/>
          </w:tcPr>
          <w:p>
            <w:r>
              <w:rPr>
                <w:rFonts w:ascii="Calibri" w:hAnsi="Calibri"/>
                <w:sz w:val="20"/>
              </w:rPr>
              <w:t>&gt; 100% (idéal 110-130%)</w:t>
            </w:r>
          </w:p>
        </w:tc>
      </w:tr>
      <w:tr>
        <w:tc>
          <w:tcPr>
            <w:tcW w:type="dxa" w:w="2268"/>
            <w:tcBorders>
              <w:top w:val="single" w:sz="4" w:color="BFBFBF"/>
              <w:left w:val="single" w:sz="4" w:color="BFBFBF"/>
              <w:bottom w:val="single" w:sz="4" w:color="BFBFBF"/>
              <w:right w:val="single" w:sz="4" w:color="BFBFBF"/>
            </w:tcBorders>
            <w:vAlign w:val="center"/>
          </w:tcPr>
          <w:p>
            <w:r>
              <w:rPr>
                <w:rFonts w:ascii="Calibri" w:hAnsi="Calibri"/>
                <w:sz w:val="20"/>
              </w:rPr>
              <w:t>GRR (Gross Revenue Retention)</w:t>
            </w:r>
          </w:p>
        </w:tc>
        <w:tc>
          <w:tcPr>
            <w:tcW w:type="dxa" w:w="4252"/>
            <w:tcBorders>
              <w:top w:val="single" w:sz="4" w:color="BFBFBF"/>
              <w:left w:val="single" w:sz="4" w:color="BFBFBF"/>
              <w:bottom w:val="single" w:sz="4" w:color="BFBFBF"/>
              <w:right w:val="single" w:sz="4" w:color="BFBFBF"/>
            </w:tcBorders>
            <w:vAlign w:val="center"/>
          </w:tcPr>
          <w:p>
            <w:r>
              <w:rPr>
                <w:rFonts w:ascii="Calibri" w:hAnsi="Calibri"/>
                <w:sz w:val="20"/>
              </w:rPr>
              <w:t>Revenu cohorte hors expansion</w:t>
            </w:r>
          </w:p>
        </w:tc>
        <w:tc>
          <w:tcPr>
            <w:tcW w:type="dxa" w:w="2551"/>
            <w:tcBorders>
              <w:top w:val="single" w:sz="4" w:color="BFBFBF"/>
              <w:left w:val="single" w:sz="4" w:color="BFBFBF"/>
              <w:bottom w:val="single" w:sz="4" w:color="BFBFBF"/>
              <w:right w:val="single" w:sz="4" w:color="BFBFBF"/>
            </w:tcBorders>
            <w:vAlign w:val="center"/>
          </w:tcPr>
          <w:p>
            <w:r>
              <w:rPr>
                <w:rFonts w:ascii="Calibri" w:hAnsi="Calibri"/>
                <w:sz w:val="20"/>
              </w:rPr>
              <w:t>&gt; 90% (B2B), &gt; 80% (B2C)</w:t>
            </w:r>
          </w:p>
        </w:tc>
      </w:tr>
      <w:tr>
        <w:tc>
          <w:tcPr>
            <w:tcW w:type="dxa" w:w="2268"/>
            <w:shd w:val="clear" w:color="auto" w:fill="F2F2F2"/>
            <w:tcBorders>
              <w:top w:val="single" w:sz="4" w:color="BFBFBF"/>
              <w:left w:val="single" w:sz="4" w:color="BFBFBF"/>
              <w:bottom w:val="single" w:sz="4" w:color="BFBFBF"/>
              <w:right w:val="single" w:sz="4" w:color="BFBFBF"/>
            </w:tcBorders>
            <w:vAlign w:val="center"/>
          </w:tcPr>
          <w:p>
            <w:r>
              <w:rPr>
                <w:rFonts w:ascii="Calibri" w:hAnsi="Calibri"/>
                <w:sz w:val="20"/>
              </w:rPr>
              <w:t>CAC</w:t>
            </w:r>
          </w:p>
        </w:tc>
        <w:tc>
          <w:tcPr>
            <w:tcW w:type="dxa" w:w="4252"/>
            <w:shd w:val="clear" w:color="auto" w:fill="F2F2F2"/>
            <w:tcBorders>
              <w:top w:val="single" w:sz="4" w:color="BFBFBF"/>
              <w:left w:val="single" w:sz="4" w:color="BFBFBF"/>
              <w:bottom w:val="single" w:sz="4" w:color="BFBFBF"/>
              <w:right w:val="single" w:sz="4" w:color="BFBFBF"/>
            </w:tcBorders>
            <w:vAlign w:val="center"/>
          </w:tcPr>
          <w:p>
            <w:r>
              <w:rPr>
                <w:rFonts w:ascii="Calibri" w:hAnsi="Calibri"/>
                <w:sz w:val="20"/>
              </w:rPr>
              <w:t>Coût d'acquisition d'un nouveau client</w:t>
            </w:r>
          </w:p>
        </w:tc>
        <w:tc>
          <w:tcPr>
            <w:tcW w:type="dxa" w:w="2551"/>
            <w:shd w:val="clear" w:color="auto" w:fill="F2F2F2"/>
            <w:tcBorders>
              <w:top w:val="single" w:sz="4" w:color="BFBFBF"/>
              <w:left w:val="single" w:sz="4" w:color="BFBFBF"/>
              <w:bottom w:val="single" w:sz="4" w:color="BFBFBF"/>
              <w:right w:val="single" w:sz="4" w:color="BFBFBF"/>
            </w:tcBorders>
            <w:vAlign w:val="center"/>
          </w:tcPr>
          <w:p>
            <w:r>
              <w:rPr>
                <w:rFonts w:ascii="Calibri" w:hAnsi="Calibri"/>
                <w:sz w:val="20"/>
              </w:rPr>
              <w:t>Industry benchmark variable</w:t>
            </w:r>
          </w:p>
        </w:tc>
      </w:tr>
      <w:tr>
        <w:tc>
          <w:tcPr>
            <w:tcW w:type="dxa" w:w="2268"/>
            <w:tcBorders>
              <w:top w:val="single" w:sz="4" w:color="BFBFBF"/>
              <w:left w:val="single" w:sz="4" w:color="BFBFBF"/>
              <w:bottom w:val="single" w:sz="4" w:color="BFBFBF"/>
              <w:right w:val="single" w:sz="4" w:color="BFBFBF"/>
            </w:tcBorders>
            <w:vAlign w:val="center"/>
          </w:tcPr>
          <w:p>
            <w:r>
              <w:rPr>
                <w:rFonts w:ascii="Calibri" w:hAnsi="Calibri"/>
                <w:sz w:val="20"/>
              </w:rPr>
              <w:t>LTV</w:t>
            </w:r>
          </w:p>
        </w:tc>
        <w:tc>
          <w:tcPr>
            <w:tcW w:type="dxa" w:w="4252"/>
            <w:tcBorders>
              <w:top w:val="single" w:sz="4" w:color="BFBFBF"/>
              <w:left w:val="single" w:sz="4" w:color="BFBFBF"/>
              <w:bottom w:val="single" w:sz="4" w:color="BFBFBF"/>
              <w:right w:val="single" w:sz="4" w:color="BFBFBF"/>
            </w:tcBorders>
            <w:vAlign w:val="center"/>
          </w:tcPr>
          <w:p>
            <w:r>
              <w:rPr>
                <w:rFonts w:ascii="Calibri" w:hAnsi="Calibri"/>
                <w:sz w:val="20"/>
              </w:rPr>
              <w:t>Marge × fréquence × durée de vie client</w:t>
            </w:r>
          </w:p>
        </w:tc>
        <w:tc>
          <w:tcPr>
            <w:tcW w:type="dxa" w:w="2551"/>
            <w:tcBorders>
              <w:top w:val="single" w:sz="4" w:color="BFBFBF"/>
              <w:left w:val="single" w:sz="4" w:color="BFBFBF"/>
              <w:bottom w:val="single" w:sz="4" w:color="BFBFBF"/>
              <w:right w:val="single" w:sz="4" w:color="BFBFBF"/>
            </w:tcBorders>
            <w:vAlign w:val="center"/>
          </w:tcPr>
          <w:p>
            <w:r>
              <w:rPr>
                <w:rFonts w:ascii="Calibri" w:hAnsi="Calibri"/>
                <w:sz w:val="20"/>
              </w:rPr>
              <w:t>Élevé pour B2B SaaS</w:t>
            </w:r>
          </w:p>
        </w:tc>
      </w:tr>
      <w:tr>
        <w:tc>
          <w:tcPr>
            <w:tcW w:type="dxa" w:w="2268"/>
            <w:shd w:val="clear" w:color="auto" w:fill="F2F2F2"/>
            <w:tcBorders>
              <w:top w:val="single" w:sz="4" w:color="BFBFBF"/>
              <w:left w:val="single" w:sz="4" w:color="BFBFBF"/>
              <w:bottom w:val="single" w:sz="4" w:color="BFBFBF"/>
              <w:right w:val="single" w:sz="4" w:color="BFBFBF"/>
            </w:tcBorders>
            <w:vAlign w:val="center"/>
          </w:tcPr>
          <w:p>
            <w:r>
              <w:rPr>
                <w:rFonts w:ascii="Calibri" w:hAnsi="Calibri"/>
                <w:sz w:val="20"/>
              </w:rPr>
              <w:t>LTV/CAC</w:t>
            </w:r>
          </w:p>
        </w:tc>
        <w:tc>
          <w:tcPr>
            <w:tcW w:type="dxa" w:w="4252"/>
            <w:shd w:val="clear" w:color="auto" w:fill="F2F2F2"/>
            <w:tcBorders>
              <w:top w:val="single" w:sz="4" w:color="BFBFBF"/>
              <w:left w:val="single" w:sz="4" w:color="BFBFBF"/>
              <w:bottom w:val="single" w:sz="4" w:color="BFBFBF"/>
              <w:right w:val="single" w:sz="4" w:color="BFBFBF"/>
            </w:tcBorders>
            <w:vAlign w:val="center"/>
          </w:tcPr>
          <w:p>
            <w:r>
              <w:rPr>
                <w:rFonts w:ascii="Calibri" w:hAnsi="Calibri"/>
                <w:sz w:val="20"/>
              </w:rPr>
              <w:t>Lifetime value / coût acquisition</w:t>
            </w:r>
          </w:p>
        </w:tc>
        <w:tc>
          <w:tcPr>
            <w:tcW w:type="dxa" w:w="2551"/>
            <w:shd w:val="clear" w:color="auto" w:fill="F2F2F2"/>
            <w:tcBorders>
              <w:top w:val="single" w:sz="4" w:color="BFBFBF"/>
              <w:left w:val="single" w:sz="4" w:color="BFBFBF"/>
              <w:bottom w:val="single" w:sz="4" w:color="BFBFBF"/>
              <w:right w:val="single" w:sz="4" w:color="BFBFBF"/>
            </w:tcBorders>
            <w:vAlign w:val="center"/>
          </w:tcPr>
          <w:p>
            <w:r>
              <w:rPr>
                <w:rFonts w:ascii="Calibri" w:hAnsi="Calibri"/>
                <w:sz w:val="20"/>
              </w:rPr>
              <w:t>&gt; 3 (idéal &gt; 5)</w:t>
            </w:r>
          </w:p>
        </w:tc>
      </w:tr>
      <w:tr>
        <w:tc>
          <w:tcPr>
            <w:tcW w:type="dxa" w:w="2268"/>
            <w:tcBorders>
              <w:top w:val="single" w:sz="4" w:color="BFBFBF"/>
              <w:left w:val="single" w:sz="4" w:color="BFBFBF"/>
              <w:bottom w:val="single" w:sz="4" w:color="BFBFBF"/>
              <w:right w:val="single" w:sz="4" w:color="BFBFBF"/>
            </w:tcBorders>
            <w:vAlign w:val="center"/>
          </w:tcPr>
          <w:p>
            <w:r>
              <w:rPr>
                <w:rFonts w:ascii="Calibri" w:hAnsi="Calibri"/>
                <w:sz w:val="20"/>
              </w:rPr>
              <w:t>CAC Payback (mois)</w:t>
            </w:r>
          </w:p>
        </w:tc>
        <w:tc>
          <w:tcPr>
            <w:tcW w:type="dxa" w:w="4252"/>
            <w:tcBorders>
              <w:top w:val="single" w:sz="4" w:color="BFBFBF"/>
              <w:left w:val="single" w:sz="4" w:color="BFBFBF"/>
              <w:bottom w:val="single" w:sz="4" w:color="BFBFBF"/>
              <w:right w:val="single" w:sz="4" w:color="BFBFBF"/>
            </w:tcBorders>
            <w:vAlign w:val="center"/>
          </w:tcPr>
          <w:p>
            <w:r>
              <w:rPr>
                <w:rFonts w:ascii="Calibri" w:hAnsi="Calibri"/>
                <w:sz w:val="20"/>
              </w:rPr>
              <w:t>CAC / (MRR × marge brute)</w:t>
            </w:r>
          </w:p>
        </w:tc>
        <w:tc>
          <w:tcPr>
            <w:tcW w:type="dxa" w:w="2551"/>
            <w:tcBorders>
              <w:top w:val="single" w:sz="4" w:color="BFBFBF"/>
              <w:left w:val="single" w:sz="4" w:color="BFBFBF"/>
              <w:bottom w:val="single" w:sz="4" w:color="BFBFBF"/>
              <w:right w:val="single" w:sz="4" w:color="BFBFBF"/>
            </w:tcBorders>
            <w:vAlign w:val="center"/>
          </w:tcPr>
          <w:p>
            <w:r>
              <w:rPr>
                <w:rFonts w:ascii="Calibri" w:hAnsi="Calibri"/>
                <w:sz w:val="20"/>
              </w:rPr>
              <w:t>&lt; 18 mois (idéal &lt; 12)</w:t>
            </w:r>
          </w:p>
        </w:tc>
      </w:tr>
      <w:tr>
        <w:tc>
          <w:tcPr>
            <w:tcW w:type="dxa" w:w="2268"/>
            <w:shd w:val="clear" w:color="auto" w:fill="F2F2F2"/>
            <w:tcBorders>
              <w:top w:val="single" w:sz="4" w:color="BFBFBF"/>
              <w:left w:val="single" w:sz="4" w:color="BFBFBF"/>
              <w:bottom w:val="single" w:sz="4" w:color="BFBFBF"/>
              <w:right w:val="single" w:sz="4" w:color="BFBFBF"/>
            </w:tcBorders>
            <w:vAlign w:val="center"/>
          </w:tcPr>
          <w:p>
            <w:r>
              <w:rPr>
                <w:rFonts w:ascii="Calibri" w:hAnsi="Calibri"/>
                <w:sz w:val="20"/>
              </w:rPr>
              <w:t>Churn mensuel</w:t>
            </w:r>
          </w:p>
        </w:tc>
        <w:tc>
          <w:tcPr>
            <w:tcW w:type="dxa" w:w="4252"/>
            <w:shd w:val="clear" w:color="auto" w:fill="F2F2F2"/>
            <w:tcBorders>
              <w:top w:val="single" w:sz="4" w:color="BFBFBF"/>
              <w:left w:val="single" w:sz="4" w:color="BFBFBF"/>
              <w:bottom w:val="single" w:sz="4" w:color="BFBFBF"/>
              <w:right w:val="single" w:sz="4" w:color="BFBFBF"/>
            </w:tcBorders>
            <w:vAlign w:val="center"/>
          </w:tcPr>
          <w:p>
            <w:r>
              <w:rPr>
                <w:rFonts w:ascii="Calibri" w:hAnsi="Calibri"/>
                <w:sz w:val="20"/>
              </w:rPr>
              <w:t>Clients perdus / clients début mois</w:t>
            </w:r>
          </w:p>
        </w:tc>
        <w:tc>
          <w:tcPr>
            <w:tcW w:type="dxa" w:w="2551"/>
            <w:shd w:val="clear" w:color="auto" w:fill="F2F2F2"/>
            <w:tcBorders>
              <w:top w:val="single" w:sz="4" w:color="BFBFBF"/>
              <w:left w:val="single" w:sz="4" w:color="BFBFBF"/>
              <w:bottom w:val="single" w:sz="4" w:color="BFBFBF"/>
              <w:right w:val="single" w:sz="4" w:color="BFBFBF"/>
            </w:tcBorders>
            <w:vAlign w:val="center"/>
          </w:tcPr>
          <w:p>
            <w:r>
              <w:rPr>
                <w:rFonts w:ascii="Calibri" w:hAnsi="Calibri"/>
                <w:sz w:val="20"/>
              </w:rPr>
              <w:t>&lt; 2% B2B, &lt; 5% B2C</w:t>
            </w:r>
          </w:p>
        </w:tc>
      </w:tr>
    </w:tbl>
    <w:p>
      <w:pPr>
        <w:spacing w:after="120"/>
      </w:pPr>
    </w:p>
    <w:p>
      <w:pPr>
        <w:pStyle w:val="Heading3"/>
        <w:spacing w:before="180" w:after="120"/>
      </w:pPr>
      <w:r>
        <w:rPr>
          <w:rFonts w:ascii="Calibri" w:hAnsi="Calibri"/>
          <w:b/>
          <w:color w:val="0A2540"/>
          <w:sz w:val="26"/>
        </w:rPr>
        <w:t>Hypothèses clés (intrants paramétrables)</w:t>
      </w:r>
    </w:p>
    <w:p>
      <w:pPr>
        <w:pStyle w:val="ListBullet"/>
        <w:spacing w:after="60"/>
        <w:ind w:left="340"/>
      </w:pPr>
      <w:r>
        <w:rPr>
          <w:rFonts w:ascii="Calibri" w:hAnsi="Calibri"/>
          <w:sz w:val="22"/>
        </w:rPr>
        <w:t>Funnel d'acquisition : trafic / leads, conversion par étape, CAC par canal</w:t>
      </w:r>
    </w:p>
    <w:p>
      <w:pPr>
        <w:pStyle w:val="ListBullet"/>
        <w:spacing w:after="60"/>
        <w:ind w:left="340"/>
      </w:pPr>
      <w:r>
        <w:rPr>
          <w:rFonts w:ascii="Calibri" w:hAnsi="Calibri"/>
          <w:sz w:val="22"/>
        </w:rPr>
        <w:t>Cohortes : taille mensuelle nouvelles cohortes, courbe d'activation, courbe de retention</w:t>
      </w:r>
    </w:p>
    <w:p>
      <w:pPr>
        <w:pStyle w:val="ListBullet"/>
        <w:spacing w:after="60"/>
        <w:ind w:left="340"/>
      </w:pPr>
      <w:r>
        <w:rPr>
          <w:rFonts w:ascii="Calibri" w:hAnsi="Calibri"/>
          <w:sz w:val="22"/>
        </w:rPr>
        <w:t>Revenus : ARPU, monétisation par segment, structure des frais (fixe + variable)</w:t>
      </w:r>
    </w:p>
    <w:p>
      <w:pPr>
        <w:pStyle w:val="ListBullet"/>
        <w:spacing w:after="60"/>
        <w:ind w:left="340"/>
      </w:pPr>
      <w:r>
        <w:rPr>
          <w:rFonts w:ascii="Calibri" w:hAnsi="Calibri"/>
          <w:sz w:val="22"/>
        </w:rPr>
        <w:t>Take rate (pour paiement / marketplace) : % sur volume transactionnel (TPV)</w:t>
      </w:r>
    </w:p>
    <w:p>
      <w:pPr>
        <w:pStyle w:val="ListBullet"/>
        <w:spacing w:after="60"/>
        <w:ind w:left="340"/>
      </w:pPr>
      <w:r>
        <w:rPr>
          <w:rFonts w:ascii="Calibri" w:hAnsi="Calibri"/>
          <w:sz w:val="22"/>
        </w:rPr>
        <w:t>Volumétrie transactionnelle (TPV) : nombre de transactions, montant moyen</w:t>
      </w:r>
    </w:p>
    <w:p>
      <w:pPr>
        <w:pStyle w:val="ListBullet"/>
        <w:spacing w:after="60"/>
        <w:ind w:left="340"/>
      </w:pPr>
      <w:r>
        <w:rPr>
          <w:rFonts w:ascii="Calibri" w:hAnsi="Calibri"/>
          <w:sz w:val="22"/>
        </w:rPr>
        <w:t>Pour lending : encours décaissé, taux d'intérêt, durée moyenne, taux de défaut (PD, LGD)</w:t>
      </w:r>
    </w:p>
    <w:p>
      <w:pPr>
        <w:pStyle w:val="ListBullet"/>
        <w:spacing w:after="60"/>
        <w:ind w:left="340"/>
      </w:pPr>
      <w:r>
        <w:rPr>
          <w:rFonts w:ascii="Calibri" w:hAnsi="Calibri"/>
          <w:sz w:val="22"/>
        </w:rPr>
        <w:t>Coûts variables par transaction : frais de réseau, KYC/AML, paiement, support N1</w:t>
      </w:r>
    </w:p>
    <w:p>
      <w:pPr>
        <w:pStyle w:val="ListBullet"/>
        <w:spacing w:after="60"/>
        <w:ind w:left="340"/>
      </w:pPr>
      <w:r>
        <w:rPr>
          <w:rFonts w:ascii="Calibri" w:hAnsi="Calibri"/>
          <w:sz w:val="22"/>
        </w:rPr>
        <w:t>Coûts d'infrastructure : cloud, IT, sécurité, conformité réglementaire</w:t>
      </w:r>
    </w:p>
    <w:p>
      <w:pPr>
        <w:pStyle w:val="ListBullet"/>
        <w:spacing w:after="60"/>
        <w:ind w:left="340"/>
      </w:pPr>
      <w:r>
        <w:rPr>
          <w:rFonts w:ascii="Calibri" w:hAnsi="Calibri"/>
          <w:sz w:val="22"/>
        </w:rPr>
        <w:t>RH : tech, commerciale, support, conformité, finance — masse salariale élevée</w:t>
      </w:r>
    </w:p>
    <w:p>
      <w:pPr>
        <w:pStyle w:val="ListBullet"/>
        <w:spacing w:after="60"/>
        <w:ind w:left="340"/>
      </w:pPr>
      <w:r>
        <w:rPr>
          <w:rFonts w:ascii="Calibri" w:hAnsi="Calibri"/>
          <w:sz w:val="22"/>
        </w:rPr>
        <w:t>Capital : levées de fonds prévues, valorisation cible, runway</w:t>
      </w:r>
    </w:p>
    <w:p>
      <w:pPr>
        <w:pStyle w:val="Heading3"/>
        <w:spacing w:before="180" w:after="120"/>
      </w:pPr>
      <w:r>
        <w:rPr>
          <w:rFonts w:ascii="Calibri" w:hAnsi="Calibri"/>
          <w:b/>
          <w:color w:val="0A2540"/>
          <w:sz w:val="26"/>
        </w:rPr>
        <w:t>Règles de calcul critiques</w:t>
      </w:r>
    </w:p>
    <w:tbl>
      <w:tblPr>
        <w:tblW w:type="auto" w:w="0"/>
        <w:jc w:val="center"/>
        <w:tblLayout w:type="fixed"/>
        <w:tblLook w:firstColumn="1" w:firstRow="1" w:lastColumn="0" w:lastRow="0" w:noHBand="0" w:noVBand="1" w:val="04A0"/>
      </w:tblPr>
      <w:tblGrid>
        <w:gridCol w:w="3135"/>
        <w:gridCol w:w="3135"/>
        <w:gridCol w:w="3135"/>
      </w:tblGrid>
      <w:tr>
        <w:tc>
          <w:tcPr>
            <w:tcW w:type="dxa" w:w="2835"/>
            <w:shd w:val="clear" w:color="auto" w:fill="0A2540"/>
            <w:tcBorders>
              <w:top w:val="single" w:sz="4" w:color="BFBFBF"/>
              <w:left w:val="single" w:sz="4" w:color="BFBFBF"/>
              <w:bottom w:val="single" w:sz="4" w:color="BFBFBF"/>
              <w:right w:val="single" w:sz="4" w:color="BFBFBF"/>
            </w:tcBorders>
            <w:vAlign w:val="center"/>
          </w:tcPr>
          <w:p>
            <w:pPr>
              <w:jc w:val="center"/>
            </w:pPr>
            <w:r>
              <w:rPr>
                <w:rFonts w:ascii="Calibri" w:hAnsi="Calibri"/>
                <w:b/>
                <w:color w:val="FFFFFF"/>
                <w:sz w:val="20"/>
              </w:rPr>
              <w:t>Calcul</w:t>
            </w:r>
          </w:p>
        </w:tc>
        <w:tc>
          <w:tcPr>
            <w:tcW w:type="dxa" w:w="4252"/>
            <w:shd w:val="clear" w:color="auto" w:fill="0A2540"/>
            <w:tcBorders>
              <w:top w:val="single" w:sz="4" w:color="BFBFBF"/>
              <w:left w:val="single" w:sz="4" w:color="BFBFBF"/>
              <w:bottom w:val="single" w:sz="4" w:color="BFBFBF"/>
              <w:right w:val="single" w:sz="4" w:color="BFBFBF"/>
            </w:tcBorders>
            <w:vAlign w:val="center"/>
          </w:tcPr>
          <w:p>
            <w:pPr>
              <w:jc w:val="center"/>
            </w:pPr>
            <w:r>
              <w:rPr>
                <w:rFonts w:ascii="Calibri" w:hAnsi="Calibri"/>
                <w:b/>
                <w:color w:val="FFFFFF"/>
                <w:sz w:val="20"/>
              </w:rPr>
              <w:t>Formule type</w:t>
            </w:r>
          </w:p>
        </w:tc>
        <w:tc>
          <w:tcPr>
            <w:tcW w:type="dxa" w:w="1984"/>
            <w:shd w:val="clear" w:color="auto" w:fill="0A2540"/>
            <w:tcBorders>
              <w:top w:val="single" w:sz="4" w:color="BFBFBF"/>
              <w:left w:val="single" w:sz="4" w:color="BFBFBF"/>
              <w:bottom w:val="single" w:sz="4" w:color="BFBFBF"/>
              <w:right w:val="single" w:sz="4" w:color="BFBFBF"/>
            </w:tcBorders>
            <w:vAlign w:val="center"/>
          </w:tcPr>
          <w:p>
            <w:pPr>
              <w:jc w:val="center"/>
            </w:pPr>
            <w:r>
              <w:rPr>
                <w:rFonts w:ascii="Calibri" w:hAnsi="Calibri"/>
                <w:b/>
                <w:color w:val="FFFFFF"/>
                <w:sz w:val="20"/>
              </w:rPr>
              <w:t>Application</w:t>
            </w:r>
          </w:p>
        </w:tc>
      </w:tr>
      <w:tr>
        <w:tc>
          <w:tcPr>
            <w:tcW w:type="dxa" w:w="2835"/>
            <w:tcBorders>
              <w:top w:val="single" w:sz="4" w:color="BFBFBF"/>
              <w:left w:val="single" w:sz="4" w:color="BFBFBF"/>
              <w:bottom w:val="single" w:sz="4" w:color="BFBFBF"/>
              <w:right w:val="single" w:sz="4" w:color="BFBFBF"/>
            </w:tcBorders>
            <w:vAlign w:val="center"/>
          </w:tcPr>
          <w:p>
            <w:r>
              <w:rPr>
                <w:rFonts w:ascii="Calibri" w:hAnsi="Calibri"/>
                <w:sz w:val="20"/>
              </w:rPr>
              <w:t>ARPU</w:t>
            </w:r>
          </w:p>
        </w:tc>
        <w:tc>
          <w:tcPr>
            <w:tcW w:type="dxa" w:w="4252"/>
            <w:tcBorders>
              <w:top w:val="single" w:sz="4" w:color="BFBFBF"/>
              <w:left w:val="single" w:sz="4" w:color="BFBFBF"/>
              <w:bottom w:val="single" w:sz="4" w:color="BFBFBF"/>
              <w:right w:val="single" w:sz="4" w:color="BFBFBF"/>
            </w:tcBorders>
            <w:vAlign w:val="center"/>
          </w:tcPr>
          <w:p>
            <w:r>
              <w:rPr>
                <w:rFonts w:ascii="Calibri" w:hAnsi="Calibri"/>
                <w:sz w:val="20"/>
              </w:rPr>
              <w:t>MRR / Nb clients moyens</w:t>
            </w:r>
          </w:p>
        </w:tc>
        <w:tc>
          <w:tcPr>
            <w:tcW w:type="dxa" w:w="1984"/>
            <w:tcBorders>
              <w:top w:val="single" w:sz="4" w:color="BFBFBF"/>
              <w:left w:val="single" w:sz="4" w:color="BFBFBF"/>
              <w:bottom w:val="single" w:sz="4" w:color="BFBFBF"/>
              <w:right w:val="single" w:sz="4" w:color="BFBFBF"/>
            </w:tcBorders>
            <w:vAlign w:val="center"/>
          </w:tcPr>
          <w:p>
            <w:r>
              <w:rPr>
                <w:rFonts w:ascii="Calibri" w:hAnsi="Calibri"/>
                <w:sz w:val="20"/>
              </w:rPr>
              <w:t>Pricing &amp; segmentation</w:t>
            </w:r>
          </w:p>
        </w:tc>
      </w:tr>
      <w:tr>
        <w:tc>
          <w:tcPr>
            <w:tcW w:type="dxa" w:w="2835"/>
            <w:shd w:val="clear" w:color="auto" w:fill="F2F2F2"/>
            <w:tcBorders>
              <w:top w:val="single" w:sz="4" w:color="BFBFBF"/>
              <w:left w:val="single" w:sz="4" w:color="BFBFBF"/>
              <w:bottom w:val="single" w:sz="4" w:color="BFBFBF"/>
              <w:right w:val="single" w:sz="4" w:color="BFBFBF"/>
            </w:tcBorders>
            <w:vAlign w:val="center"/>
          </w:tcPr>
          <w:p>
            <w:r>
              <w:rPr>
                <w:rFonts w:ascii="Calibri" w:hAnsi="Calibri"/>
                <w:sz w:val="20"/>
              </w:rPr>
              <w:t>CAC</w:t>
            </w:r>
          </w:p>
        </w:tc>
        <w:tc>
          <w:tcPr>
            <w:tcW w:type="dxa" w:w="4252"/>
            <w:shd w:val="clear" w:color="auto" w:fill="F2F2F2"/>
            <w:tcBorders>
              <w:top w:val="single" w:sz="4" w:color="BFBFBF"/>
              <w:left w:val="single" w:sz="4" w:color="BFBFBF"/>
              <w:bottom w:val="single" w:sz="4" w:color="BFBFBF"/>
              <w:right w:val="single" w:sz="4" w:color="BFBFBF"/>
            </w:tcBorders>
            <w:vAlign w:val="center"/>
          </w:tcPr>
          <w:p>
            <w:r>
              <w:rPr>
                <w:rFonts w:ascii="Calibri" w:hAnsi="Calibri"/>
                <w:sz w:val="20"/>
              </w:rPr>
              <w:t>(Mkt + Sales) / Nouveaux clients</w:t>
            </w:r>
          </w:p>
        </w:tc>
        <w:tc>
          <w:tcPr>
            <w:tcW w:type="dxa" w:w="1984"/>
            <w:shd w:val="clear" w:color="auto" w:fill="F2F2F2"/>
            <w:tcBorders>
              <w:top w:val="single" w:sz="4" w:color="BFBFBF"/>
              <w:left w:val="single" w:sz="4" w:color="BFBFBF"/>
              <w:bottom w:val="single" w:sz="4" w:color="BFBFBF"/>
              <w:right w:val="single" w:sz="4" w:color="BFBFBF"/>
            </w:tcBorders>
            <w:vAlign w:val="center"/>
          </w:tcPr>
          <w:p>
            <w:r>
              <w:rPr>
                <w:rFonts w:ascii="Calibri" w:hAnsi="Calibri"/>
                <w:sz w:val="20"/>
              </w:rPr>
              <w:t>Efficacité acquisition</w:t>
            </w:r>
          </w:p>
        </w:tc>
      </w:tr>
      <w:tr>
        <w:tc>
          <w:tcPr>
            <w:tcW w:type="dxa" w:w="2835"/>
            <w:tcBorders>
              <w:top w:val="single" w:sz="4" w:color="BFBFBF"/>
              <w:left w:val="single" w:sz="4" w:color="BFBFBF"/>
              <w:bottom w:val="single" w:sz="4" w:color="BFBFBF"/>
              <w:right w:val="single" w:sz="4" w:color="BFBFBF"/>
            </w:tcBorders>
            <w:vAlign w:val="center"/>
          </w:tcPr>
          <w:p>
            <w:r>
              <w:rPr>
                <w:rFonts w:ascii="Calibri" w:hAnsi="Calibri"/>
                <w:sz w:val="20"/>
              </w:rPr>
              <w:t>LTV (récurrent)</w:t>
            </w:r>
          </w:p>
        </w:tc>
        <w:tc>
          <w:tcPr>
            <w:tcW w:type="dxa" w:w="4252"/>
            <w:tcBorders>
              <w:top w:val="single" w:sz="4" w:color="BFBFBF"/>
              <w:left w:val="single" w:sz="4" w:color="BFBFBF"/>
              <w:bottom w:val="single" w:sz="4" w:color="BFBFBF"/>
              <w:right w:val="single" w:sz="4" w:color="BFBFBF"/>
            </w:tcBorders>
            <w:vAlign w:val="center"/>
          </w:tcPr>
          <w:p>
            <w:r>
              <w:rPr>
                <w:rFonts w:ascii="Calibri" w:hAnsi="Calibri"/>
                <w:sz w:val="20"/>
              </w:rPr>
              <w:t>ARPU × Marge brute / Churn mensuel</w:t>
            </w:r>
          </w:p>
        </w:tc>
        <w:tc>
          <w:tcPr>
            <w:tcW w:type="dxa" w:w="1984"/>
            <w:tcBorders>
              <w:top w:val="single" w:sz="4" w:color="BFBFBF"/>
              <w:left w:val="single" w:sz="4" w:color="BFBFBF"/>
              <w:bottom w:val="single" w:sz="4" w:color="BFBFBF"/>
              <w:right w:val="single" w:sz="4" w:color="BFBFBF"/>
            </w:tcBorders>
            <w:vAlign w:val="center"/>
          </w:tcPr>
          <w:p>
            <w:r>
              <w:rPr>
                <w:rFonts w:ascii="Calibri" w:hAnsi="Calibri"/>
                <w:sz w:val="20"/>
              </w:rPr>
              <w:t>Justification CAC</w:t>
            </w:r>
          </w:p>
        </w:tc>
      </w:tr>
      <w:tr>
        <w:tc>
          <w:tcPr>
            <w:tcW w:type="dxa" w:w="2835"/>
            <w:shd w:val="clear" w:color="auto" w:fill="F2F2F2"/>
            <w:tcBorders>
              <w:top w:val="single" w:sz="4" w:color="BFBFBF"/>
              <w:left w:val="single" w:sz="4" w:color="BFBFBF"/>
              <w:bottom w:val="single" w:sz="4" w:color="BFBFBF"/>
              <w:right w:val="single" w:sz="4" w:color="BFBFBF"/>
            </w:tcBorders>
            <w:vAlign w:val="center"/>
          </w:tcPr>
          <w:p>
            <w:r>
              <w:rPr>
                <w:rFonts w:ascii="Calibri" w:hAnsi="Calibri"/>
                <w:sz w:val="20"/>
              </w:rPr>
              <w:t>Take rate (paiement)</w:t>
            </w:r>
          </w:p>
        </w:tc>
        <w:tc>
          <w:tcPr>
            <w:tcW w:type="dxa" w:w="4252"/>
            <w:shd w:val="clear" w:color="auto" w:fill="F2F2F2"/>
            <w:tcBorders>
              <w:top w:val="single" w:sz="4" w:color="BFBFBF"/>
              <w:left w:val="single" w:sz="4" w:color="BFBFBF"/>
              <w:bottom w:val="single" w:sz="4" w:color="BFBFBF"/>
              <w:right w:val="single" w:sz="4" w:color="BFBFBF"/>
            </w:tcBorders>
            <w:vAlign w:val="center"/>
          </w:tcPr>
          <w:p>
            <w:r>
              <w:rPr>
                <w:rFonts w:ascii="Calibri" w:hAnsi="Calibri"/>
                <w:sz w:val="20"/>
              </w:rPr>
              <w:t>Revenus commission / TPV</w:t>
            </w:r>
          </w:p>
        </w:tc>
        <w:tc>
          <w:tcPr>
            <w:tcW w:type="dxa" w:w="1984"/>
            <w:shd w:val="clear" w:color="auto" w:fill="F2F2F2"/>
            <w:tcBorders>
              <w:top w:val="single" w:sz="4" w:color="BFBFBF"/>
              <w:left w:val="single" w:sz="4" w:color="BFBFBF"/>
              <w:bottom w:val="single" w:sz="4" w:color="BFBFBF"/>
              <w:right w:val="single" w:sz="4" w:color="BFBFBF"/>
            </w:tcBorders>
            <w:vAlign w:val="center"/>
          </w:tcPr>
          <w:p>
            <w:r>
              <w:rPr>
                <w:rFonts w:ascii="Calibri" w:hAnsi="Calibri"/>
                <w:sz w:val="20"/>
              </w:rPr>
              <w:t>Pricing transactionnel</w:t>
            </w:r>
          </w:p>
        </w:tc>
      </w:tr>
      <w:tr>
        <w:tc>
          <w:tcPr>
            <w:tcW w:type="dxa" w:w="2835"/>
            <w:tcBorders>
              <w:top w:val="single" w:sz="4" w:color="BFBFBF"/>
              <w:left w:val="single" w:sz="4" w:color="BFBFBF"/>
              <w:bottom w:val="single" w:sz="4" w:color="BFBFBF"/>
              <w:right w:val="single" w:sz="4" w:color="BFBFBF"/>
            </w:tcBorders>
            <w:vAlign w:val="center"/>
          </w:tcPr>
          <w:p>
            <w:r>
              <w:rPr>
                <w:rFonts w:ascii="Calibri" w:hAnsi="Calibri"/>
                <w:sz w:val="20"/>
              </w:rPr>
              <w:t>Coût risque crédit (lending)</w:t>
            </w:r>
          </w:p>
        </w:tc>
        <w:tc>
          <w:tcPr>
            <w:tcW w:type="dxa" w:w="4252"/>
            <w:tcBorders>
              <w:top w:val="single" w:sz="4" w:color="BFBFBF"/>
              <w:left w:val="single" w:sz="4" w:color="BFBFBF"/>
              <w:bottom w:val="single" w:sz="4" w:color="BFBFBF"/>
              <w:right w:val="single" w:sz="4" w:color="BFBFBF"/>
            </w:tcBorders>
            <w:vAlign w:val="center"/>
          </w:tcPr>
          <w:p>
            <w:r>
              <w:rPr>
                <w:rFonts w:ascii="Calibri" w:hAnsi="Calibri"/>
                <w:sz w:val="20"/>
              </w:rPr>
              <w:t>PD × LGD × Encours moyen</w:t>
            </w:r>
          </w:p>
        </w:tc>
        <w:tc>
          <w:tcPr>
            <w:tcW w:type="dxa" w:w="1984"/>
            <w:tcBorders>
              <w:top w:val="single" w:sz="4" w:color="BFBFBF"/>
              <w:left w:val="single" w:sz="4" w:color="BFBFBF"/>
              <w:bottom w:val="single" w:sz="4" w:color="BFBFBF"/>
              <w:right w:val="single" w:sz="4" w:color="BFBFBF"/>
            </w:tcBorders>
            <w:vAlign w:val="center"/>
          </w:tcPr>
          <w:p>
            <w:r>
              <w:rPr>
                <w:rFonts w:ascii="Calibri" w:hAnsi="Calibri"/>
                <w:sz w:val="20"/>
              </w:rPr>
              <w:t>Modèle IFRS 9 light</w:t>
            </w:r>
          </w:p>
        </w:tc>
      </w:tr>
      <w:tr>
        <w:tc>
          <w:tcPr>
            <w:tcW w:type="dxa" w:w="2835"/>
            <w:shd w:val="clear" w:color="auto" w:fill="F2F2F2"/>
            <w:tcBorders>
              <w:top w:val="single" w:sz="4" w:color="BFBFBF"/>
              <w:left w:val="single" w:sz="4" w:color="BFBFBF"/>
              <w:bottom w:val="single" w:sz="4" w:color="BFBFBF"/>
              <w:right w:val="single" w:sz="4" w:color="BFBFBF"/>
            </w:tcBorders>
            <w:vAlign w:val="center"/>
          </w:tcPr>
          <w:p>
            <w:r>
              <w:rPr>
                <w:rFonts w:ascii="Calibri" w:hAnsi="Calibri"/>
                <w:sz w:val="20"/>
              </w:rPr>
              <w:t>Net Promoter Score (NPS)</w:t>
            </w:r>
          </w:p>
        </w:tc>
        <w:tc>
          <w:tcPr>
            <w:tcW w:type="dxa" w:w="4252"/>
            <w:shd w:val="clear" w:color="auto" w:fill="F2F2F2"/>
            <w:tcBorders>
              <w:top w:val="single" w:sz="4" w:color="BFBFBF"/>
              <w:left w:val="single" w:sz="4" w:color="BFBFBF"/>
              <w:bottom w:val="single" w:sz="4" w:color="BFBFBF"/>
              <w:right w:val="single" w:sz="4" w:color="BFBFBF"/>
            </w:tcBorders>
            <w:vAlign w:val="center"/>
          </w:tcPr>
          <w:p>
            <w:r>
              <w:rPr>
                <w:rFonts w:ascii="Calibri" w:hAnsi="Calibri"/>
                <w:sz w:val="20"/>
              </w:rPr>
              <w:t>% promoteurs - % détracteurs</w:t>
            </w:r>
          </w:p>
        </w:tc>
        <w:tc>
          <w:tcPr>
            <w:tcW w:type="dxa" w:w="1984"/>
            <w:shd w:val="clear" w:color="auto" w:fill="F2F2F2"/>
            <w:tcBorders>
              <w:top w:val="single" w:sz="4" w:color="BFBFBF"/>
              <w:left w:val="single" w:sz="4" w:color="BFBFBF"/>
              <w:bottom w:val="single" w:sz="4" w:color="BFBFBF"/>
              <w:right w:val="single" w:sz="4" w:color="BFBFBF"/>
            </w:tcBorders>
            <w:vAlign w:val="center"/>
          </w:tcPr>
          <w:p>
            <w:r>
              <w:rPr>
                <w:rFonts w:ascii="Calibri" w:hAnsi="Calibri"/>
                <w:sz w:val="20"/>
              </w:rPr>
              <w:t>Satisfaction &amp; rétention</w:t>
            </w:r>
          </w:p>
        </w:tc>
      </w:tr>
      <w:tr>
        <w:tc>
          <w:tcPr>
            <w:tcW w:type="dxa" w:w="2835"/>
            <w:tcBorders>
              <w:top w:val="single" w:sz="4" w:color="BFBFBF"/>
              <w:left w:val="single" w:sz="4" w:color="BFBFBF"/>
              <w:bottom w:val="single" w:sz="4" w:color="BFBFBF"/>
              <w:right w:val="single" w:sz="4" w:color="BFBFBF"/>
            </w:tcBorders>
            <w:vAlign w:val="center"/>
          </w:tcPr>
          <w:p>
            <w:r>
              <w:rPr>
                <w:rFonts w:ascii="Calibri" w:hAnsi="Calibri"/>
                <w:sz w:val="20"/>
              </w:rPr>
              <w:t>Burn rate mensuel</w:t>
            </w:r>
          </w:p>
        </w:tc>
        <w:tc>
          <w:tcPr>
            <w:tcW w:type="dxa" w:w="4252"/>
            <w:tcBorders>
              <w:top w:val="single" w:sz="4" w:color="BFBFBF"/>
              <w:left w:val="single" w:sz="4" w:color="BFBFBF"/>
              <w:bottom w:val="single" w:sz="4" w:color="BFBFBF"/>
              <w:right w:val="single" w:sz="4" w:color="BFBFBF"/>
            </w:tcBorders>
            <w:vAlign w:val="center"/>
          </w:tcPr>
          <w:p>
            <w:r>
              <w:rPr>
                <w:rFonts w:ascii="Calibri" w:hAnsi="Calibri"/>
                <w:sz w:val="20"/>
              </w:rPr>
              <w:t>(Recettes - Dépenses) / Mois</w:t>
            </w:r>
          </w:p>
        </w:tc>
        <w:tc>
          <w:tcPr>
            <w:tcW w:type="dxa" w:w="1984"/>
            <w:tcBorders>
              <w:top w:val="single" w:sz="4" w:color="BFBFBF"/>
              <w:left w:val="single" w:sz="4" w:color="BFBFBF"/>
              <w:bottom w:val="single" w:sz="4" w:color="BFBFBF"/>
              <w:right w:val="single" w:sz="4" w:color="BFBFBF"/>
            </w:tcBorders>
            <w:vAlign w:val="center"/>
          </w:tcPr>
          <w:p>
            <w:r>
              <w:rPr>
                <w:rFonts w:ascii="Calibri" w:hAnsi="Calibri"/>
                <w:sz w:val="20"/>
              </w:rPr>
              <w:t>Suivi runway</w:t>
            </w:r>
          </w:p>
        </w:tc>
      </w:tr>
      <w:tr>
        <w:tc>
          <w:tcPr>
            <w:tcW w:type="dxa" w:w="2835"/>
            <w:shd w:val="clear" w:color="auto" w:fill="F2F2F2"/>
            <w:tcBorders>
              <w:top w:val="single" w:sz="4" w:color="BFBFBF"/>
              <w:left w:val="single" w:sz="4" w:color="BFBFBF"/>
              <w:bottom w:val="single" w:sz="4" w:color="BFBFBF"/>
              <w:right w:val="single" w:sz="4" w:color="BFBFBF"/>
            </w:tcBorders>
            <w:vAlign w:val="center"/>
          </w:tcPr>
          <w:p>
            <w:r>
              <w:rPr>
                <w:rFonts w:ascii="Calibri" w:hAnsi="Calibri"/>
                <w:sz w:val="20"/>
              </w:rPr>
              <w:t>Runway (mois)</w:t>
            </w:r>
          </w:p>
        </w:tc>
        <w:tc>
          <w:tcPr>
            <w:tcW w:type="dxa" w:w="4252"/>
            <w:shd w:val="clear" w:color="auto" w:fill="F2F2F2"/>
            <w:tcBorders>
              <w:top w:val="single" w:sz="4" w:color="BFBFBF"/>
              <w:left w:val="single" w:sz="4" w:color="BFBFBF"/>
              <w:bottom w:val="single" w:sz="4" w:color="BFBFBF"/>
              <w:right w:val="single" w:sz="4" w:color="BFBFBF"/>
            </w:tcBorders>
            <w:vAlign w:val="center"/>
          </w:tcPr>
          <w:p>
            <w:r>
              <w:rPr>
                <w:rFonts w:ascii="Calibri" w:hAnsi="Calibri"/>
                <w:sz w:val="20"/>
              </w:rPr>
              <w:t>Cash dispo / Burn rate</w:t>
            </w:r>
          </w:p>
        </w:tc>
        <w:tc>
          <w:tcPr>
            <w:tcW w:type="dxa" w:w="1984"/>
            <w:shd w:val="clear" w:color="auto" w:fill="F2F2F2"/>
            <w:tcBorders>
              <w:top w:val="single" w:sz="4" w:color="BFBFBF"/>
              <w:left w:val="single" w:sz="4" w:color="BFBFBF"/>
              <w:bottom w:val="single" w:sz="4" w:color="BFBFBF"/>
              <w:right w:val="single" w:sz="4" w:color="BFBFBF"/>
            </w:tcBorders>
            <w:vAlign w:val="center"/>
          </w:tcPr>
          <w:p>
            <w:r>
              <w:rPr>
                <w:rFonts w:ascii="Calibri" w:hAnsi="Calibri"/>
                <w:sz w:val="20"/>
              </w:rPr>
              <w:t>Décision levée</w:t>
            </w:r>
          </w:p>
        </w:tc>
      </w:tr>
    </w:tbl>
    <w:p>
      <w:pPr>
        <w:spacing w:after="120"/>
      </w:pPr>
    </w:p>
    <w:p>
      <w:pPr>
        <w:pStyle w:val="Heading3"/>
        <w:spacing w:before="180" w:after="120"/>
      </w:pPr>
      <w:r>
        <w:rPr>
          <w:rFonts w:ascii="Calibri" w:hAnsi="Calibri"/>
          <w:b/>
          <w:color w:val="0A2540"/>
          <w:sz w:val="26"/>
        </w:rPr>
        <w:t>KPIs et indicateurs sectoriels</w:t>
      </w:r>
    </w:p>
    <w:p>
      <w:pPr>
        <w:pStyle w:val="ListBullet"/>
        <w:spacing w:after="60"/>
        <w:ind w:left="340"/>
      </w:pPr>
      <w:r>
        <w:rPr>
          <w:rFonts w:ascii="Calibri" w:hAnsi="Calibri"/>
          <w:sz w:val="22"/>
        </w:rPr>
        <w:t>Croissance : MRR, ARR, MoM growth, YoY growth, vélocité commerciale</w:t>
      </w:r>
    </w:p>
    <w:p>
      <w:pPr>
        <w:pStyle w:val="ListBullet"/>
        <w:spacing w:after="60"/>
        <w:ind w:left="340"/>
      </w:pPr>
      <w:r>
        <w:rPr>
          <w:rFonts w:ascii="Calibri" w:hAnsi="Calibri"/>
          <w:sz w:val="22"/>
        </w:rPr>
        <w:t>Unit economics : CAC, LTV, LTV/CAC, payback, contribution margin par client</w:t>
      </w:r>
    </w:p>
    <w:p>
      <w:pPr>
        <w:pStyle w:val="ListBullet"/>
        <w:spacing w:after="60"/>
        <w:ind w:left="340"/>
      </w:pPr>
      <w:r>
        <w:rPr>
          <w:rFonts w:ascii="Calibri" w:hAnsi="Calibri"/>
          <w:sz w:val="22"/>
        </w:rPr>
        <w:t>Engagement : DAU, MAU, DAU/MAU, fréquence, time spent, churn</w:t>
      </w:r>
    </w:p>
    <w:p>
      <w:pPr>
        <w:pStyle w:val="ListBullet"/>
        <w:spacing w:after="60"/>
        <w:ind w:left="340"/>
      </w:pPr>
      <w:r>
        <w:rPr>
          <w:rFonts w:ascii="Calibri" w:hAnsi="Calibri"/>
          <w:sz w:val="22"/>
        </w:rPr>
        <w:t>Volumétrie (paiement) : TPV, GMV, take rate, transactions/utilisateur</w:t>
      </w:r>
    </w:p>
    <w:p>
      <w:pPr>
        <w:pStyle w:val="ListBullet"/>
        <w:spacing w:after="60"/>
        <w:ind w:left="340"/>
      </w:pPr>
      <w:r>
        <w:rPr>
          <w:rFonts w:ascii="Calibri" w:hAnsi="Calibri"/>
          <w:sz w:val="22"/>
        </w:rPr>
        <w:t>Crédit (lending) : encours, NPL ratio, coût du risque, PD, LGD</w:t>
      </w:r>
    </w:p>
    <w:p>
      <w:pPr>
        <w:pStyle w:val="ListBullet"/>
        <w:spacing w:after="60"/>
        <w:ind w:left="340"/>
      </w:pPr>
      <w:r>
        <w:rPr>
          <w:rFonts w:ascii="Calibri" w:hAnsi="Calibri"/>
          <w:sz w:val="22"/>
        </w:rPr>
        <w:t>Finance : revenus, marge brute, marge contribution, burn, runway, cash zero date</w:t>
      </w:r>
    </w:p>
    <w:p>
      <w:pPr>
        <w:pStyle w:val="ListBullet"/>
        <w:spacing w:after="60"/>
        <w:ind w:left="340"/>
      </w:pPr>
      <w:r>
        <w:rPr>
          <w:rFonts w:ascii="Calibri" w:hAnsi="Calibri"/>
          <w:sz w:val="22"/>
        </w:rPr>
        <w:t>Levée : valorisation, dilution, runway post-money</w:t>
      </w:r>
    </w:p>
    <w:p>
      <w:pPr>
        <w:pStyle w:val="Heading3"/>
        <w:spacing w:before="180" w:after="120"/>
      </w:pPr>
      <w:r>
        <w:rPr>
          <w:rFonts w:ascii="Calibri" w:hAnsi="Calibri"/>
          <w:b/>
          <w:color w:val="0A2540"/>
          <w:sz w:val="26"/>
        </w:rPr>
        <w:t>Structure du template Fintech</w:t>
      </w:r>
    </w:p>
    <w:p>
      <w:pPr>
        <w:spacing w:before="0" w:after="120"/>
        <w:jc w:val="both"/>
      </w:pPr>
      <w:r>
        <w:rPr>
          <w:rFonts w:ascii="Calibri" w:hAnsi="Calibri"/>
          <w:b w:val="0"/>
          <w:i w:val="0"/>
          <w:color w:val="000000"/>
          <w:sz w:val="22"/>
        </w:rPr>
        <w:t>Le template Fintech comporte 12 feuilles : Notice, Hypothèses, Funnel &amp; acquisition, Cohortes &amp; retention, Revenus &amp; monétisation, Volumétrie transactionnelle (TPV) ou Encours crédit, Coûts variables, Charges fixes &amp; RH, CAPEX &amp; R&amp;D capitalisée, P&amp;L, Trésorerie &amp; runway, KPIs / Unit economics.</w:t>
      </w:r>
    </w:p>
    <w:p>
      <w:pPr>
        <w:pStyle w:val="Heading2"/>
        <w:spacing w:before="240" w:after="120"/>
      </w:pPr>
      <w:r>
        <w:rPr>
          <w:rFonts w:ascii="Calibri" w:hAnsi="Calibri"/>
          <w:b/>
          <w:color w:val="0A2540"/>
          <w:sz w:val="30"/>
        </w:rPr>
        <w:t>5.7 Entreprises de services (conseil, ingénierie, B2B)</w:t>
      </w:r>
    </w:p>
    <w:p>
      <w:pPr>
        <w:pStyle w:val="Heading3"/>
        <w:spacing w:before="180" w:after="120"/>
      </w:pPr>
      <w:r>
        <w:rPr>
          <w:rFonts w:ascii="Calibri" w:hAnsi="Calibri"/>
          <w:b/>
          <w:color w:val="0A2540"/>
          <w:sz w:val="26"/>
        </w:rPr>
        <w:t>Description du secteur</w:t>
      </w:r>
    </w:p>
    <w:p>
      <w:pPr>
        <w:spacing w:before="0" w:after="120"/>
        <w:jc w:val="both"/>
      </w:pPr>
      <w:r>
        <w:rPr>
          <w:rFonts w:ascii="Calibri" w:hAnsi="Calibri"/>
          <w:b w:val="0"/>
          <w:i w:val="0"/>
          <w:color w:val="000000"/>
          <w:sz w:val="22"/>
        </w:rPr>
        <w:t>Le secteur des services aux entreprises (conseil, ingénierie, IT, RH, communication, BPO) repose sur la production d'expertise humaine. Sa rentabilité dépend de trois leviers : le taux d'occupation des consultants (utilization rate), le TJM (taux journalier moyen) facturé, et la pyramide hiérarchique (mix junior / sénior / manager / partner).</w:t>
      </w:r>
    </w:p>
    <w:p>
      <w:pPr>
        <w:pStyle w:val="Heading3"/>
        <w:spacing w:before="180" w:after="120"/>
      </w:pPr>
      <w:r>
        <w:rPr>
          <w:rFonts w:ascii="Calibri" w:hAnsi="Calibri"/>
          <w:b/>
          <w:color w:val="0A2540"/>
          <w:sz w:val="26"/>
        </w:rPr>
        <w:t>Sous-secteurs et variantes</w:t>
      </w:r>
    </w:p>
    <w:tbl>
      <w:tblPr>
        <w:tblW w:type="auto" w:w="0"/>
        <w:jc w:val="center"/>
        <w:tblLayout w:type="fixed"/>
        <w:tblLook w:firstColumn="1" w:firstRow="1" w:lastColumn="0" w:lastRow="0" w:noHBand="0" w:noVBand="1" w:val="04A0"/>
      </w:tblPr>
      <w:tblGrid>
        <w:gridCol w:w="3135"/>
        <w:gridCol w:w="3135"/>
        <w:gridCol w:w="3135"/>
      </w:tblGrid>
      <w:tr>
        <w:tc>
          <w:tcPr>
            <w:tcW w:type="dxa" w:w="3118"/>
            <w:shd w:val="clear" w:color="auto" w:fill="0A2540"/>
            <w:tcBorders>
              <w:top w:val="single" w:sz="4" w:color="BFBFBF"/>
              <w:left w:val="single" w:sz="4" w:color="BFBFBF"/>
              <w:bottom w:val="single" w:sz="4" w:color="BFBFBF"/>
              <w:right w:val="single" w:sz="4" w:color="BFBFBF"/>
            </w:tcBorders>
            <w:vAlign w:val="center"/>
          </w:tcPr>
          <w:p>
            <w:pPr>
              <w:jc w:val="center"/>
            </w:pPr>
            <w:r>
              <w:rPr>
                <w:rFonts w:ascii="Calibri" w:hAnsi="Calibri"/>
                <w:b/>
                <w:color w:val="FFFFFF"/>
                <w:sz w:val="20"/>
              </w:rPr>
              <w:t>Sous-secteur</w:t>
            </w:r>
          </w:p>
        </w:tc>
        <w:tc>
          <w:tcPr>
            <w:tcW w:type="dxa" w:w="3118"/>
            <w:shd w:val="clear" w:color="auto" w:fill="0A2540"/>
            <w:tcBorders>
              <w:top w:val="single" w:sz="4" w:color="BFBFBF"/>
              <w:left w:val="single" w:sz="4" w:color="BFBFBF"/>
              <w:bottom w:val="single" w:sz="4" w:color="BFBFBF"/>
              <w:right w:val="single" w:sz="4" w:color="BFBFBF"/>
            </w:tcBorders>
            <w:vAlign w:val="center"/>
          </w:tcPr>
          <w:p>
            <w:pPr>
              <w:jc w:val="center"/>
            </w:pPr>
            <w:r>
              <w:rPr>
                <w:rFonts w:ascii="Calibri" w:hAnsi="Calibri"/>
                <w:b/>
                <w:color w:val="FFFFFF"/>
                <w:sz w:val="20"/>
              </w:rPr>
              <w:t>Modèle dominant</w:t>
            </w:r>
          </w:p>
        </w:tc>
        <w:tc>
          <w:tcPr>
            <w:tcW w:type="dxa" w:w="1701"/>
            <w:shd w:val="clear" w:color="auto" w:fill="0A2540"/>
            <w:tcBorders>
              <w:top w:val="single" w:sz="4" w:color="BFBFBF"/>
              <w:left w:val="single" w:sz="4" w:color="BFBFBF"/>
              <w:bottom w:val="single" w:sz="4" w:color="BFBFBF"/>
              <w:right w:val="single" w:sz="4" w:color="BFBFBF"/>
            </w:tcBorders>
            <w:vAlign w:val="center"/>
          </w:tcPr>
          <w:p>
            <w:pPr>
              <w:jc w:val="center"/>
            </w:pPr>
            <w:r>
              <w:rPr>
                <w:rFonts w:ascii="Calibri" w:hAnsi="Calibri"/>
                <w:b/>
                <w:color w:val="FFFFFF"/>
                <w:sz w:val="20"/>
              </w:rPr>
              <w:t>Marge EBITDA</w:t>
            </w:r>
          </w:p>
        </w:tc>
      </w:tr>
      <w:tr>
        <w:tc>
          <w:tcPr>
            <w:tcW w:type="dxa" w:w="3118"/>
            <w:tcBorders>
              <w:top w:val="single" w:sz="4" w:color="BFBFBF"/>
              <w:left w:val="single" w:sz="4" w:color="BFBFBF"/>
              <w:bottom w:val="single" w:sz="4" w:color="BFBFBF"/>
              <w:right w:val="single" w:sz="4" w:color="BFBFBF"/>
            </w:tcBorders>
            <w:vAlign w:val="center"/>
          </w:tcPr>
          <w:p>
            <w:r>
              <w:rPr>
                <w:rFonts w:ascii="Calibri" w:hAnsi="Calibri"/>
                <w:sz w:val="20"/>
              </w:rPr>
              <w:t>Conseil stratégique</w:t>
            </w:r>
          </w:p>
        </w:tc>
        <w:tc>
          <w:tcPr>
            <w:tcW w:type="dxa" w:w="3118"/>
            <w:tcBorders>
              <w:top w:val="single" w:sz="4" w:color="BFBFBF"/>
              <w:left w:val="single" w:sz="4" w:color="BFBFBF"/>
              <w:bottom w:val="single" w:sz="4" w:color="BFBFBF"/>
              <w:right w:val="single" w:sz="4" w:color="BFBFBF"/>
            </w:tcBorders>
            <w:vAlign w:val="center"/>
          </w:tcPr>
          <w:p>
            <w:r>
              <w:rPr>
                <w:rFonts w:ascii="Calibri" w:hAnsi="Calibri"/>
                <w:sz w:val="20"/>
              </w:rPr>
              <w:t>Mission au forfait, TJM élevé</w:t>
            </w:r>
          </w:p>
        </w:tc>
        <w:tc>
          <w:tcPr>
            <w:tcW w:type="dxa" w:w="1701"/>
            <w:tcBorders>
              <w:top w:val="single" w:sz="4" w:color="BFBFBF"/>
              <w:left w:val="single" w:sz="4" w:color="BFBFBF"/>
              <w:bottom w:val="single" w:sz="4" w:color="BFBFBF"/>
              <w:right w:val="single" w:sz="4" w:color="BFBFBF"/>
            </w:tcBorders>
            <w:vAlign w:val="center"/>
          </w:tcPr>
          <w:p>
            <w:r>
              <w:rPr>
                <w:rFonts w:ascii="Calibri" w:hAnsi="Calibri"/>
                <w:sz w:val="20"/>
              </w:rPr>
              <w:t>20-35%</w:t>
            </w:r>
          </w:p>
        </w:tc>
      </w:tr>
      <w:tr>
        <w:tc>
          <w:tcPr>
            <w:tcW w:type="dxa" w:w="3118"/>
            <w:shd w:val="clear" w:color="auto" w:fill="F2F2F2"/>
            <w:tcBorders>
              <w:top w:val="single" w:sz="4" w:color="BFBFBF"/>
              <w:left w:val="single" w:sz="4" w:color="BFBFBF"/>
              <w:bottom w:val="single" w:sz="4" w:color="BFBFBF"/>
              <w:right w:val="single" w:sz="4" w:color="BFBFBF"/>
            </w:tcBorders>
            <w:vAlign w:val="center"/>
          </w:tcPr>
          <w:p>
            <w:r>
              <w:rPr>
                <w:rFonts w:ascii="Calibri" w:hAnsi="Calibri"/>
                <w:sz w:val="20"/>
              </w:rPr>
              <w:t>Conseil opérationnel &amp; management</w:t>
            </w:r>
          </w:p>
        </w:tc>
        <w:tc>
          <w:tcPr>
            <w:tcW w:type="dxa" w:w="3118"/>
            <w:shd w:val="clear" w:color="auto" w:fill="F2F2F2"/>
            <w:tcBorders>
              <w:top w:val="single" w:sz="4" w:color="BFBFBF"/>
              <w:left w:val="single" w:sz="4" w:color="BFBFBF"/>
              <w:bottom w:val="single" w:sz="4" w:color="BFBFBF"/>
              <w:right w:val="single" w:sz="4" w:color="BFBFBF"/>
            </w:tcBorders>
            <w:vAlign w:val="center"/>
          </w:tcPr>
          <w:p>
            <w:r>
              <w:rPr>
                <w:rFonts w:ascii="Calibri" w:hAnsi="Calibri"/>
                <w:sz w:val="20"/>
              </w:rPr>
              <w:t>Mission forfait + Time &amp; Materials</w:t>
            </w:r>
          </w:p>
        </w:tc>
        <w:tc>
          <w:tcPr>
            <w:tcW w:type="dxa" w:w="1701"/>
            <w:shd w:val="clear" w:color="auto" w:fill="F2F2F2"/>
            <w:tcBorders>
              <w:top w:val="single" w:sz="4" w:color="BFBFBF"/>
              <w:left w:val="single" w:sz="4" w:color="BFBFBF"/>
              <w:bottom w:val="single" w:sz="4" w:color="BFBFBF"/>
              <w:right w:val="single" w:sz="4" w:color="BFBFBF"/>
            </w:tcBorders>
            <w:vAlign w:val="center"/>
          </w:tcPr>
          <w:p>
            <w:r>
              <w:rPr>
                <w:rFonts w:ascii="Calibri" w:hAnsi="Calibri"/>
                <w:sz w:val="20"/>
              </w:rPr>
              <w:t>15-25%</w:t>
            </w:r>
          </w:p>
        </w:tc>
      </w:tr>
      <w:tr>
        <w:tc>
          <w:tcPr>
            <w:tcW w:type="dxa" w:w="3118"/>
            <w:tcBorders>
              <w:top w:val="single" w:sz="4" w:color="BFBFBF"/>
              <w:left w:val="single" w:sz="4" w:color="BFBFBF"/>
              <w:bottom w:val="single" w:sz="4" w:color="BFBFBF"/>
              <w:right w:val="single" w:sz="4" w:color="BFBFBF"/>
            </w:tcBorders>
            <w:vAlign w:val="center"/>
          </w:tcPr>
          <w:p>
            <w:r>
              <w:rPr>
                <w:rFonts w:ascii="Calibri" w:hAnsi="Calibri"/>
                <w:sz w:val="20"/>
              </w:rPr>
              <w:t>Ingénierie technique</w:t>
            </w:r>
          </w:p>
        </w:tc>
        <w:tc>
          <w:tcPr>
            <w:tcW w:type="dxa" w:w="3118"/>
            <w:tcBorders>
              <w:top w:val="single" w:sz="4" w:color="BFBFBF"/>
              <w:left w:val="single" w:sz="4" w:color="BFBFBF"/>
              <w:bottom w:val="single" w:sz="4" w:color="BFBFBF"/>
              <w:right w:val="single" w:sz="4" w:color="BFBFBF"/>
            </w:tcBorders>
            <w:vAlign w:val="center"/>
          </w:tcPr>
          <w:p>
            <w:r>
              <w:rPr>
                <w:rFonts w:ascii="Calibri" w:hAnsi="Calibri"/>
                <w:sz w:val="20"/>
              </w:rPr>
              <w:t>Projets, jalons, T&amp;M</w:t>
            </w:r>
          </w:p>
        </w:tc>
        <w:tc>
          <w:tcPr>
            <w:tcW w:type="dxa" w:w="1701"/>
            <w:tcBorders>
              <w:top w:val="single" w:sz="4" w:color="BFBFBF"/>
              <w:left w:val="single" w:sz="4" w:color="BFBFBF"/>
              <w:bottom w:val="single" w:sz="4" w:color="BFBFBF"/>
              <w:right w:val="single" w:sz="4" w:color="BFBFBF"/>
            </w:tcBorders>
            <w:vAlign w:val="center"/>
          </w:tcPr>
          <w:p>
            <w:r>
              <w:rPr>
                <w:rFonts w:ascii="Calibri" w:hAnsi="Calibri"/>
                <w:sz w:val="20"/>
              </w:rPr>
              <w:t>10-18%</w:t>
            </w:r>
          </w:p>
        </w:tc>
      </w:tr>
      <w:tr>
        <w:tc>
          <w:tcPr>
            <w:tcW w:type="dxa" w:w="3118"/>
            <w:shd w:val="clear" w:color="auto" w:fill="F2F2F2"/>
            <w:tcBorders>
              <w:top w:val="single" w:sz="4" w:color="BFBFBF"/>
              <w:left w:val="single" w:sz="4" w:color="BFBFBF"/>
              <w:bottom w:val="single" w:sz="4" w:color="BFBFBF"/>
              <w:right w:val="single" w:sz="4" w:color="BFBFBF"/>
            </w:tcBorders>
            <w:vAlign w:val="center"/>
          </w:tcPr>
          <w:p>
            <w:r>
              <w:rPr>
                <w:rFonts w:ascii="Calibri" w:hAnsi="Calibri"/>
                <w:sz w:val="20"/>
              </w:rPr>
              <w:t>IT services (intégration, dev)</w:t>
            </w:r>
          </w:p>
        </w:tc>
        <w:tc>
          <w:tcPr>
            <w:tcW w:type="dxa" w:w="3118"/>
            <w:shd w:val="clear" w:color="auto" w:fill="F2F2F2"/>
            <w:tcBorders>
              <w:top w:val="single" w:sz="4" w:color="BFBFBF"/>
              <w:left w:val="single" w:sz="4" w:color="BFBFBF"/>
              <w:bottom w:val="single" w:sz="4" w:color="BFBFBF"/>
              <w:right w:val="single" w:sz="4" w:color="BFBFBF"/>
            </w:tcBorders>
            <w:vAlign w:val="center"/>
          </w:tcPr>
          <w:p>
            <w:r>
              <w:rPr>
                <w:rFonts w:ascii="Calibri" w:hAnsi="Calibri"/>
                <w:sz w:val="20"/>
              </w:rPr>
              <w:t>Projets, T&amp;M, régie</w:t>
            </w:r>
          </w:p>
        </w:tc>
        <w:tc>
          <w:tcPr>
            <w:tcW w:type="dxa" w:w="1701"/>
            <w:shd w:val="clear" w:color="auto" w:fill="F2F2F2"/>
            <w:tcBorders>
              <w:top w:val="single" w:sz="4" w:color="BFBFBF"/>
              <w:left w:val="single" w:sz="4" w:color="BFBFBF"/>
              <w:bottom w:val="single" w:sz="4" w:color="BFBFBF"/>
              <w:right w:val="single" w:sz="4" w:color="BFBFBF"/>
            </w:tcBorders>
            <w:vAlign w:val="center"/>
          </w:tcPr>
          <w:p>
            <w:r>
              <w:rPr>
                <w:rFonts w:ascii="Calibri" w:hAnsi="Calibri"/>
                <w:sz w:val="20"/>
              </w:rPr>
              <w:t>10-20%</w:t>
            </w:r>
          </w:p>
        </w:tc>
      </w:tr>
      <w:tr>
        <w:tc>
          <w:tcPr>
            <w:tcW w:type="dxa" w:w="3118"/>
            <w:tcBorders>
              <w:top w:val="single" w:sz="4" w:color="BFBFBF"/>
              <w:left w:val="single" w:sz="4" w:color="BFBFBF"/>
              <w:bottom w:val="single" w:sz="4" w:color="BFBFBF"/>
              <w:right w:val="single" w:sz="4" w:color="BFBFBF"/>
            </w:tcBorders>
            <w:vAlign w:val="center"/>
          </w:tcPr>
          <w:p>
            <w:r>
              <w:rPr>
                <w:rFonts w:ascii="Calibri" w:hAnsi="Calibri"/>
                <w:sz w:val="20"/>
              </w:rPr>
              <w:t>BPO / outsourcing</w:t>
            </w:r>
          </w:p>
        </w:tc>
        <w:tc>
          <w:tcPr>
            <w:tcW w:type="dxa" w:w="3118"/>
            <w:tcBorders>
              <w:top w:val="single" w:sz="4" w:color="BFBFBF"/>
              <w:left w:val="single" w:sz="4" w:color="BFBFBF"/>
              <w:bottom w:val="single" w:sz="4" w:color="BFBFBF"/>
              <w:right w:val="single" w:sz="4" w:color="BFBFBF"/>
            </w:tcBorders>
            <w:vAlign w:val="center"/>
          </w:tcPr>
          <w:p>
            <w:r>
              <w:rPr>
                <w:rFonts w:ascii="Calibri" w:hAnsi="Calibri"/>
                <w:sz w:val="20"/>
              </w:rPr>
              <w:t>Forfait mensuel ou pricing au volume</w:t>
            </w:r>
          </w:p>
        </w:tc>
        <w:tc>
          <w:tcPr>
            <w:tcW w:type="dxa" w:w="1701"/>
            <w:tcBorders>
              <w:top w:val="single" w:sz="4" w:color="BFBFBF"/>
              <w:left w:val="single" w:sz="4" w:color="BFBFBF"/>
              <w:bottom w:val="single" w:sz="4" w:color="BFBFBF"/>
              <w:right w:val="single" w:sz="4" w:color="BFBFBF"/>
            </w:tcBorders>
            <w:vAlign w:val="center"/>
          </w:tcPr>
          <w:p>
            <w:r>
              <w:rPr>
                <w:rFonts w:ascii="Calibri" w:hAnsi="Calibri"/>
                <w:sz w:val="20"/>
              </w:rPr>
              <w:t>8-15%</w:t>
            </w:r>
          </w:p>
        </w:tc>
      </w:tr>
      <w:tr>
        <w:tc>
          <w:tcPr>
            <w:tcW w:type="dxa" w:w="3118"/>
            <w:shd w:val="clear" w:color="auto" w:fill="F2F2F2"/>
            <w:tcBorders>
              <w:top w:val="single" w:sz="4" w:color="BFBFBF"/>
              <w:left w:val="single" w:sz="4" w:color="BFBFBF"/>
              <w:bottom w:val="single" w:sz="4" w:color="BFBFBF"/>
              <w:right w:val="single" w:sz="4" w:color="BFBFBF"/>
            </w:tcBorders>
            <w:vAlign w:val="center"/>
          </w:tcPr>
          <w:p>
            <w:r>
              <w:rPr>
                <w:rFonts w:ascii="Calibri" w:hAnsi="Calibri"/>
                <w:sz w:val="20"/>
              </w:rPr>
              <w:t>Communication / agences créatives</w:t>
            </w:r>
          </w:p>
        </w:tc>
        <w:tc>
          <w:tcPr>
            <w:tcW w:type="dxa" w:w="3118"/>
            <w:shd w:val="clear" w:color="auto" w:fill="F2F2F2"/>
            <w:tcBorders>
              <w:top w:val="single" w:sz="4" w:color="BFBFBF"/>
              <w:left w:val="single" w:sz="4" w:color="BFBFBF"/>
              <w:bottom w:val="single" w:sz="4" w:color="BFBFBF"/>
              <w:right w:val="single" w:sz="4" w:color="BFBFBF"/>
            </w:tcBorders>
            <w:vAlign w:val="center"/>
          </w:tcPr>
          <w:p>
            <w:r>
              <w:rPr>
                <w:rFonts w:ascii="Calibri" w:hAnsi="Calibri"/>
                <w:sz w:val="20"/>
              </w:rPr>
              <w:t>Honoraires + commissions media</w:t>
            </w:r>
          </w:p>
        </w:tc>
        <w:tc>
          <w:tcPr>
            <w:tcW w:type="dxa" w:w="1701"/>
            <w:shd w:val="clear" w:color="auto" w:fill="F2F2F2"/>
            <w:tcBorders>
              <w:top w:val="single" w:sz="4" w:color="BFBFBF"/>
              <w:left w:val="single" w:sz="4" w:color="BFBFBF"/>
              <w:bottom w:val="single" w:sz="4" w:color="BFBFBF"/>
              <w:right w:val="single" w:sz="4" w:color="BFBFBF"/>
            </w:tcBorders>
            <w:vAlign w:val="center"/>
          </w:tcPr>
          <w:p>
            <w:r>
              <w:rPr>
                <w:rFonts w:ascii="Calibri" w:hAnsi="Calibri"/>
                <w:sz w:val="20"/>
              </w:rPr>
              <w:t>8-18%</w:t>
            </w:r>
          </w:p>
        </w:tc>
      </w:tr>
      <w:tr>
        <w:tc>
          <w:tcPr>
            <w:tcW w:type="dxa" w:w="3118"/>
            <w:tcBorders>
              <w:top w:val="single" w:sz="4" w:color="BFBFBF"/>
              <w:left w:val="single" w:sz="4" w:color="BFBFBF"/>
              <w:bottom w:val="single" w:sz="4" w:color="BFBFBF"/>
              <w:right w:val="single" w:sz="4" w:color="BFBFBF"/>
            </w:tcBorders>
            <w:vAlign w:val="center"/>
          </w:tcPr>
          <w:p>
            <w:r>
              <w:rPr>
                <w:rFonts w:ascii="Calibri" w:hAnsi="Calibri"/>
                <w:sz w:val="20"/>
              </w:rPr>
              <w:t>RH (recrutement, formation)</w:t>
            </w:r>
          </w:p>
        </w:tc>
        <w:tc>
          <w:tcPr>
            <w:tcW w:type="dxa" w:w="3118"/>
            <w:tcBorders>
              <w:top w:val="single" w:sz="4" w:color="BFBFBF"/>
              <w:left w:val="single" w:sz="4" w:color="BFBFBF"/>
              <w:bottom w:val="single" w:sz="4" w:color="BFBFBF"/>
              <w:right w:val="single" w:sz="4" w:color="BFBFBF"/>
            </w:tcBorders>
            <w:vAlign w:val="center"/>
          </w:tcPr>
          <w:p>
            <w:r>
              <w:rPr>
                <w:rFonts w:ascii="Calibri" w:hAnsi="Calibri"/>
                <w:sz w:val="20"/>
              </w:rPr>
              <w:t>Pourcentage salaire + forfaits</w:t>
            </w:r>
          </w:p>
        </w:tc>
        <w:tc>
          <w:tcPr>
            <w:tcW w:type="dxa" w:w="1701"/>
            <w:tcBorders>
              <w:top w:val="single" w:sz="4" w:color="BFBFBF"/>
              <w:left w:val="single" w:sz="4" w:color="BFBFBF"/>
              <w:bottom w:val="single" w:sz="4" w:color="BFBFBF"/>
              <w:right w:val="single" w:sz="4" w:color="BFBFBF"/>
            </w:tcBorders>
            <w:vAlign w:val="center"/>
          </w:tcPr>
          <w:p>
            <w:r>
              <w:rPr>
                <w:rFonts w:ascii="Calibri" w:hAnsi="Calibri"/>
                <w:sz w:val="20"/>
              </w:rPr>
              <w:t>15-25%</w:t>
            </w:r>
          </w:p>
        </w:tc>
      </w:tr>
    </w:tbl>
    <w:p>
      <w:pPr>
        <w:spacing w:after="120"/>
      </w:pPr>
    </w:p>
    <w:p>
      <w:pPr>
        <w:pStyle w:val="Heading3"/>
        <w:spacing w:before="180" w:after="120"/>
      </w:pPr>
      <w:r>
        <w:rPr>
          <w:rFonts w:ascii="Calibri" w:hAnsi="Calibri"/>
          <w:b/>
          <w:color w:val="0A2540"/>
          <w:sz w:val="26"/>
        </w:rPr>
        <w:t>Spécificités fiscales et réglementaires</w:t>
      </w:r>
    </w:p>
    <w:p>
      <w:pPr>
        <w:pStyle w:val="ListBullet"/>
        <w:spacing w:after="60"/>
        <w:ind w:left="340"/>
      </w:pPr>
      <w:r>
        <w:rPr>
          <w:rFonts w:ascii="Calibri" w:hAnsi="Calibri"/>
          <w:sz w:val="22"/>
        </w:rPr>
        <w:t>IS standard ; régimes spéciaux start-ups dans certains pays</w:t>
      </w:r>
    </w:p>
    <w:p>
      <w:pPr>
        <w:pStyle w:val="ListBullet"/>
        <w:spacing w:after="60"/>
        <w:ind w:left="340"/>
      </w:pPr>
      <w:r>
        <w:rPr>
          <w:rFonts w:ascii="Calibri" w:hAnsi="Calibri"/>
          <w:sz w:val="22"/>
        </w:rPr>
        <w:t>TVA sur prestations services : 18% UEMOA, 18-19,25% CEMAC, déductible côté client B2B</w:t>
      </w:r>
    </w:p>
    <w:p>
      <w:pPr>
        <w:pStyle w:val="ListBullet"/>
        <w:spacing w:after="60"/>
        <w:ind w:left="340"/>
      </w:pPr>
      <w:r>
        <w:rPr>
          <w:rFonts w:ascii="Calibri" w:hAnsi="Calibri"/>
          <w:sz w:val="22"/>
        </w:rPr>
        <w:t>Retenue à la source non-résident : 10-25% selon pays sur facturation cross-border vers l'étranger (conventions fiscales à vérifier)</w:t>
      </w:r>
    </w:p>
    <w:p>
      <w:pPr>
        <w:pStyle w:val="ListBullet"/>
        <w:spacing w:after="60"/>
        <w:ind w:left="340"/>
      </w:pPr>
      <w:r>
        <w:rPr>
          <w:rFonts w:ascii="Calibri" w:hAnsi="Calibri"/>
          <w:sz w:val="22"/>
        </w:rPr>
        <w:t>Patente sur CA, parfois élevée pour activités intellectuelles</w:t>
      </w:r>
    </w:p>
    <w:p>
      <w:pPr>
        <w:pStyle w:val="ListBullet"/>
        <w:spacing w:after="60"/>
        <w:ind w:left="340"/>
      </w:pPr>
      <w:r>
        <w:rPr>
          <w:rFonts w:ascii="Calibri" w:hAnsi="Calibri"/>
          <w:sz w:val="22"/>
        </w:rPr>
        <w:t>Régime des stocks options et plans d'intéressement variables selon pays</w:t>
      </w:r>
    </w:p>
    <w:p>
      <w:pPr>
        <w:pStyle w:val="ListBullet"/>
        <w:spacing w:after="60"/>
        <w:ind w:left="340"/>
      </w:pPr>
      <w:r>
        <w:rPr>
          <w:rFonts w:ascii="Calibri" w:hAnsi="Calibri"/>
          <w:sz w:val="22"/>
        </w:rPr>
        <w:t>Pour les bureaux d'études techniques : agréments sectoriels obligatoires</w:t>
      </w:r>
    </w:p>
    <w:p>
      <w:pPr>
        <w:pStyle w:val="Heading3"/>
        <w:spacing w:before="180" w:after="120"/>
      </w:pPr>
      <w:r>
        <w:rPr>
          <w:rFonts w:ascii="Calibri" w:hAnsi="Calibri"/>
          <w:b/>
          <w:color w:val="0A2540"/>
          <w:sz w:val="26"/>
        </w:rPr>
        <w:t>Modèle économique : pyramide &amp; utilization</w:t>
      </w:r>
    </w:p>
    <w:p>
      <w:pPr>
        <w:spacing w:before="0" w:after="120"/>
        <w:jc w:val="both"/>
      </w:pPr>
      <w:r>
        <w:rPr>
          <w:rFonts w:ascii="Calibri" w:hAnsi="Calibri"/>
          <w:b w:val="0"/>
          <w:i w:val="0"/>
          <w:color w:val="000000"/>
          <w:sz w:val="22"/>
        </w:rPr>
        <w:t>L'économie d'une firme de services repose sur la combinaison de trois variables qu'il faut modéliser explicitement :</w:t>
      </w:r>
    </w:p>
    <w:tbl>
      <w:tblPr>
        <w:tblW w:type="auto" w:w="0"/>
        <w:jc w:val="center"/>
        <w:tblLayout w:type="fixed"/>
        <w:tblLook w:firstColumn="1" w:firstRow="1" w:lastColumn="0" w:lastRow="0" w:noHBand="0" w:noVBand="1" w:val="04A0"/>
      </w:tblPr>
      <w:tblGrid>
        <w:gridCol w:w="3135"/>
        <w:gridCol w:w="3135"/>
        <w:gridCol w:w="3135"/>
      </w:tblGrid>
      <w:tr>
        <w:tc>
          <w:tcPr>
            <w:tcW w:type="dxa" w:w="1984"/>
            <w:shd w:val="clear" w:color="auto" w:fill="0A2540"/>
            <w:tcBorders>
              <w:top w:val="single" w:sz="4" w:color="BFBFBF"/>
              <w:left w:val="single" w:sz="4" w:color="BFBFBF"/>
              <w:bottom w:val="single" w:sz="4" w:color="BFBFBF"/>
              <w:right w:val="single" w:sz="4" w:color="BFBFBF"/>
            </w:tcBorders>
            <w:vAlign w:val="center"/>
          </w:tcPr>
          <w:p>
            <w:pPr>
              <w:jc w:val="center"/>
            </w:pPr>
            <w:r>
              <w:rPr>
                <w:rFonts w:ascii="Calibri" w:hAnsi="Calibri"/>
                <w:b/>
                <w:color w:val="FFFFFF"/>
                <w:sz w:val="20"/>
              </w:rPr>
              <w:t>Variable</w:t>
            </w:r>
          </w:p>
        </w:tc>
        <w:tc>
          <w:tcPr>
            <w:tcW w:type="dxa" w:w="3118"/>
            <w:shd w:val="clear" w:color="auto" w:fill="0A2540"/>
            <w:tcBorders>
              <w:top w:val="single" w:sz="4" w:color="BFBFBF"/>
              <w:left w:val="single" w:sz="4" w:color="BFBFBF"/>
              <w:bottom w:val="single" w:sz="4" w:color="BFBFBF"/>
              <w:right w:val="single" w:sz="4" w:color="BFBFBF"/>
            </w:tcBorders>
            <w:vAlign w:val="center"/>
          </w:tcPr>
          <w:p>
            <w:pPr>
              <w:jc w:val="center"/>
            </w:pPr>
            <w:r>
              <w:rPr>
                <w:rFonts w:ascii="Calibri" w:hAnsi="Calibri"/>
                <w:b/>
                <w:color w:val="FFFFFF"/>
                <w:sz w:val="20"/>
              </w:rPr>
              <w:t>Définition</w:t>
            </w:r>
          </w:p>
        </w:tc>
        <w:tc>
          <w:tcPr>
            <w:tcW w:type="dxa" w:w="3969"/>
            <w:shd w:val="clear" w:color="auto" w:fill="0A2540"/>
            <w:tcBorders>
              <w:top w:val="single" w:sz="4" w:color="BFBFBF"/>
              <w:left w:val="single" w:sz="4" w:color="BFBFBF"/>
              <w:bottom w:val="single" w:sz="4" w:color="BFBFBF"/>
              <w:right w:val="single" w:sz="4" w:color="BFBFBF"/>
            </w:tcBorders>
            <w:vAlign w:val="center"/>
          </w:tcPr>
          <w:p>
            <w:pPr>
              <w:jc w:val="center"/>
            </w:pPr>
            <w:r>
              <w:rPr>
                <w:rFonts w:ascii="Calibri" w:hAnsi="Calibri"/>
                <w:b/>
                <w:color w:val="FFFFFF"/>
                <w:sz w:val="20"/>
              </w:rPr>
              <w:t>Levier d'amélioration</w:t>
            </w:r>
          </w:p>
        </w:tc>
      </w:tr>
      <w:tr>
        <w:tc>
          <w:tcPr>
            <w:tcW w:type="dxa" w:w="1984"/>
            <w:tcBorders>
              <w:top w:val="single" w:sz="4" w:color="BFBFBF"/>
              <w:left w:val="single" w:sz="4" w:color="BFBFBF"/>
              <w:bottom w:val="single" w:sz="4" w:color="BFBFBF"/>
              <w:right w:val="single" w:sz="4" w:color="BFBFBF"/>
            </w:tcBorders>
            <w:vAlign w:val="center"/>
          </w:tcPr>
          <w:p>
            <w:r>
              <w:rPr>
                <w:rFonts w:ascii="Calibri" w:hAnsi="Calibri"/>
                <w:sz w:val="20"/>
              </w:rPr>
              <w:t>Utilization rate</w:t>
            </w:r>
          </w:p>
        </w:tc>
        <w:tc>
          <w:tcPr>
            <w:tcW w:type="dxa" w:w="3118"/>
            <w:tcBorders>
              <w:top w:val="single" w:sz="4" w:color="BFBFBF"/>
              <w:left w:val="single" w:sz="4" w:color="BFBFBF"/>
              <w:bottom w:val="single" w:sz="4" w:color="BFBFBF"/>
              <w:right w:val="single" w:sz="4" w:color="BFBFBF"/>
            </w:tcBorders>
            <w:vAlign w:val="center"/>
          </w:tcPr>
          <w:p>
            <w:r>
              <w:rPr>
                <w:rFonts w:ascii="Calibri" w:hAnsi="Calibri"/>
                <w:sz w:val="20"/>
              </w:rPr>
              <w:t>Jours facturés / jours ouvrables théoriques</w:t>
            </w:r>
          </w:p>
        </w:tc>
        <w:tc>
          <w:tcPr>
            <w:tcW w:type="dxa" w:w="3969"/>
            <w:tcBorders>
              <w:top w:val="single" w:sz="4" w:color="BFBFBF"/>
              <w:left w:val="single" w:sz="4" w:color="BFBFBF"/>
              <w:bottom w:val="single" w:sz="4" w:color="BFBFBF"/>
              <w:right w:val="single" w:sz="4" w:color="BFBFBF"/>
            </w:tcBorders>
            <w:vAlign w:val="center"/>
          </w:tcPr>
          <w:p>
            <w:r>
              <w:rPr>
                <w:rFonts w:ascii="Calibri" w:hAnsi="Calibri"/>
                <w:sz w:val="20"/>
              </w:rPr>
              <w:t>Pipeline commercial, plannification</w:t>
            </w:r>
          </w:p>
        </w:tc>
      </w:tr>
      <w:tr>
        <w:tc>
          <w:tcPr>
            <w:tcW w:type="dxa" w:w="1984"/>
            <w:shd w:val="clear" w:color="auto" w:fill="F2F2F2"/>
            <w:tcBorders>
              <w:top w:val="single" w:sz="4" w:color="BFBFBF"/>
              <w:left w:val="single" w:sz="4" w:color="BFBFBF"/>
              <w:bottom w:val="single" w:sz="4" w:color="BFBFBF"/>
              <w:right w:val="single" w:sz="4" w:color="BFBFBF"/>
            </w:tcBorders>
            <w:vAlign w:val="center"/>
          </w:tcPr>
          <w:p>
            <w:r>
              <w:rPr>
                <w:rFonts w:ascii="Calibri" w:hAnsi="Calibri"/>
                <w:sz w:val="20"/>
              </w:rPr>
              <w:t>TJM facturé</w:t>
            </w:r>
          </w:p>
        </w:tc>
        <w:tc>
          <w:tcPr>
            <w:tcW w:type="dxa" w:w="3118"/>
            <w:shd w:val="clear" w:color="auto" w:fill="F2F2F2"/>
            <w:tcBorders>
              <w:top w:val="single" w:sz="4" w:color="BFBFBF"/>
              <w:left w:val="single" w:sz="4" w:color="BFBFBF"/>
              <w:bottom w:val="single" w:sz="4" w:color="BFBFBF"/>
              <w:right w:val="single" w:sz="4" w:color="BFBFBF"/>
            </w:tcBorders>
            <w:vAlign w:val="center"/>
          </w:tcPr>
          <w:p>
            <w:r>
              <w:rPr>
                <w:rFonts w:ascii="Calibri" w:hAnsi="Calibri"/>
                <w:sz w:val="20"/>
              </w:rPr>
              <w:t>Revenu / jour facturé</w:t>
            </w:r>
          </w:p>
        </w:tc>
        <w:tc>
          <w:tcPr>
            <w:tcW w:type="dxa" w:w="3969"/>
            <w:shd w:val="clear" w:color="auto" w:fill="F2F2F2"/>
            <w:tcBorders>
              <w:top w:val="single" w:sz="4" w:color="BFBFBF"/>
              <w:left w:val="single" w:sz="4" w:color="BFBFBF"/>
              <w:bottom w:val="single" w:sz="4" w:color="BFBFBF"/>
              <w:right w:val="single" w:sz="4" w:color="BFBFBF"/>
            </w:tcBorders>
            <w:vAlign w:val="center"/>
          </w:tcPr>
          <w:p>
            <w:r>
              <w:rPr>
                <w:rFonts w:ascii="Calibri" w:hAnsi="Calibri"/>
                <w:sz w:val="20"/>
              </w:rPr>
              <w:t>Mix client, repositionnement, expertise</w:t>
            </w:r>
          </w:p>
        </w:tc>
      </w:tr>
      <w:tr>
        <w:tc>
          <w:tcPr>
            <w:tcW w:type="dxa" w:w="1984"/>
            <w:tcBorders>
              <w:top w:val="single" w:sz="4" w:color="BFBFBF"/>
              <w:left w:val="single" w:sz="4" w:color="BFBFBF"/>
              <w:bottom w:val="single" w:sz="4" w:color="BFBFBF"/>
              <w:right w:val="single" w:sz="4" w:color="BFBFBF"/>
            </w:tcBorders>
            <w:vAlign w:val="center"/>
          </w:tcPr>
          <w:p>
            <w:r>
              <w:rPr>
                <w:rFonts w:ascii="Calibri" w:hAnsi="Calibri"/>
                <w:sz w:val="20"/>
              </w:rPr>
              <w:t>Pyramide</w:t>
            </w:r>
          </w:p>
        </w:tc>
        <w:tc>
          <w:tcPr>
            <w:tcW w:type="dxa" w:w="3118"/>
            <w:tcBorders>
              <w:top w:val="single" w:sz="4" w:color="BFBFBF"/>
              <w:left w:val="single" w:sz="4" w:color="BFBFBF"/>
              <w:bottom w:val="single" w:sz="4" w:color="BFBFBF"/>
              <w:right w:val="single" w:sz="4" w:color="BFBFBF"/>
            </w:tcBorders>
            <w:vAlign w:val="center"/>
          </w:tcPr>
          <w:p>
            <w:r>
              <w:rPr>
                <w:rFonts w:ascii="Calibri" w:hAnsi="Calibri"/>
                <w:sz w:val="20"/>
              </w:rPr>
              <w:t>Ratio juniors / séniors / managers / partners</w:t>
            </w:r>
          </w:p>
        </w:tc>
        <w:tc>
          <w:tcPr>
            <w:tcW w:type="dxa" w:w="3969"/>
            <w:tcBorders>
              <w:top w:val="single" w:sz="4" w:color="BFBFBF"/>
              <w:left w:val="single" w:sz="4" w:color="BFBFBF"/>
              <w:bottom w:val="single" w:sz="4" w:color="BFBFBF"/>
              <w:right w:val="single" w:sz="4" w:color="BFBFBF"/>
            </w:tcBorders>
            <w:vAlign w:val="center"/>
          </w:tcPr>
          <w:p>
            <w:r>
              <w:rPr>
                <w:rFonts w:ascii="Calibri" w:hAnsi="Calibri"/>
                <w:sz w:val="20"/>
              </w:rPr>
              <w:t>Effet levier : 1 partner pour N juniors</w:t>
            </w:r>
          </w:p>
        </w:tc>
      </w:tr>
    </w:tbl>
    <w:p>
      <w:pPr>
        <w:spacing w:after="120"/>
      </w:pPr>
    </w:p>
    <w:tbl>
      <w:tblPr>
        <w:tblW w:type="auto" w:w="0"/>
        <w:tblLook w:firstColumn="1" w:firstRow="1" w:lastColumn="0" w:lastRow="0" w:noHBand="0" w:noVBand="1" w:val="04A0"/>
      </w:tblPr>
      <w:tblGrid>
        <w:gridCol w:w="9406"/>
      </w:tblGrid>
      <w:tr>
        <w:tc>
          <w:tcPr>
            <w:tcW w:type="dxa" w:w="9406"/>
            <w:shd w:val="clear" w:color="auto" w:fill="D6E0EC"/>
            <w:tcBorders>
              <w:top w:val="single" w:sz="12" w:color="0A2540"/>
              <w:bottom w:val="single" w:sz="4" w:color="0A2540"/>
              <w:left w:val="single" w:sz="24" w:color="0A2540"/>
              <w:right w:val="single" w:sz="4" w:color="0A2540"/>
            </w:tcBorders>
          </w:tcPr>
          <w:p>
            <w:r>
              <w:rPr>
                <w:rFonts w:ascii="Calibri" w:hAnsi="Calibri"/>
                <w:b/>
                <w:color w:val="0A2540"/>
                <w:sz w:val="22"/>
              </w:rPr>
              <w:t>Formule économique du service</w:t>
            </w:r>
          </w:p>
          <w:p>
            <w:pPr>
              <w:jc w:val="both"/>
            </w:pPr>
            <w:r>
              <w:rPr>
                <w:rFonts w:ascii="Calibri" w:hAnsi="Calibri"/>
                <w:sz w:val="22"/>
              </w:rPr>
              <w:t>Revenu par consultant = Capacité jours/an × Utilization × TJM. Une firme à 60% d'utilization avec TJM 200 k FCFA et 220 jours ouvrables génère 26,4 M FCFA par consultant. La marge brute dépend du coût total (salaire chargé + overhead allouable). À taux d'utilization &lt; 50%, la firme perd de l'argent ; à &gt; 75% (sénior), elle est très rentable mais épuise ses équipes. L'équilibre cible se situe généralement entre 65 et 75%.</w:t>
            </w:r>
          </w:p>
        </w:tc>
      </w:tr>
    </w:tbl>
    <w:p>
      <w:pPr>
        <w:spacing w:after="120"/>
      </w:pPr>
    </w:p>
    <w:p>
      <w:pPr>
        <w:pStyle w:val="Heading3"/>
        <w:spacing w:before="180" w:after="120"/>
      </w:pPr>
      <w:r>
        <w:rPr>
          <w:rFonts w:ascii="Calibri" w:hAnsi="Calibri"/>
          <w:b/>
          <w:color w:val="0A2540"/>
          <w:sz w:val="26"/>
        </w:rPr>
        <w:t>Hypothèses clés (intrants paramétrables)</w:t>
      </w:r>
    </w:p>
    <w:p>
      <w:pPr>
        <w:pStyle w:val="ListBullet"/>
        <w:spacing w:after="60"/>
        <w:ind w:left="340"/>
      </w:pPr>
      <w:r>
        <w:rPr>
          <w:rFonts w:ascii="Calibri" w:hAnsi="Calibri"/>
          <w:sz w:val="22"/>
        </w:rPr>
        <w:t>Pyramide : effectifs par grade (junior, consultant, sénior, manager, senior manager, directeur, partner)</w:t>
      </w:r>
    </w:p>
    <w:p>
      <w:pPr>
        <w:pStyle w:val="ListBullet"/>
        <w:spacing w:after="60"/>
        <w:ind w:left="340"/>
      </w:pPr>
      <w:r>
        <w:rPr>
          <w:rFonts w:ascii="Calibri" w:hAnsi="Calibri"/>
          <w:sz w:val="22"/>
        </w:rPr>
        <w:t>Capacité : jours ouvrables / an, jours de formation, jours de R&amp;D, jours commerciaux (non facturés)</w:t>
      </w:r>
    </w:p>
    <w:p>
      <w:pPr>
        <w:pStyle w:val="ListBullet"/>
        <w:spacing w:after="60"/>
        <w:ind w:left="340"/>
      </w:pPr>
      <w:r>
        <w:rPr>
          <w:rFonts w:ascii="Calibri" w:hAnsi="Calibri"/>
          <w:sz w:val="22"/>
        </w:rPr>
        <w:t>Utilization rate cible par grade (croissant avec l'ancienneté ou décroissant selon modèle)</w:t>
      </w:r>
    </w:p>
    <w:p>
      <w:pPr>
        <w:pStyle w:val="ListBullet"/>
        <w:spacing w:after="60"/>
        <w:ind w:left="340"/>
      </w:pPr>
      <w:r>
        <w:rPr>
          <w:rFonts w:ascii="Calibri" w:hAnsi="Calibri"/>
          <w:sz w:val="22"/>
        </w:rPr>
        <w:t>TJM par grade et par segment client (corporate, ETI, PME, secteur public)</w:t>
      </w:r>
    </w:p>
    <w:p>
      <w:pPr>
        <w:pStyle w:val="ListBullet"/>
        <w:spacing w:after="60"/>
        <w:ind w:left="340"/>
      </w:pPr>
      <w:r>
        <w:rPr>
          <w:rFonts w:ascii="Calibri" w:hAnsi="Calibri"/>
          <w:sz w:val="22"/>
        </w:rPr>
        <w:t>Mix missions : forfait vs T&amp;M vs régie, durée moyenne, % d'avenants</w:t>
      </w:r>
    </w:p>
    <w:p>
      <w:pPr>
        <w:pStyle w:val="ListBullet"/>
        <w:spacing w:after="60"/>
        <w:ind w:left="340"/>
      </w:pPr>
      <w:r>
        <w:rPr>
          <w:rFonts w:ascii="Calibri" w:hAnsi="Calibri"/>
          <w:sz w:val="22"/>
        </w:rPr>
        <w:t>Charges salariales : salaire de base par grade, charges sociales, bonus, intéressement</w:t>
      </w:r>
    </w:p>
    <w:p>
      <w:pPr>
        <w:pStyle w:val="ListBullet"/>
        <w:spacing w:after="60"/>
        <w:ind w:left="340"/>
      </w:pPr>
      <w:r>
        <w:rPr>
          <w:rFonts w:ascii="Calibri" w:hAnsi="Calibri"/>
          <w:sz w:val="22"/>
        </w:rPr>
        <w:t>Recrutement : flux d'entrées par grade, durée de montée en compétence, taux de turnover</w:t>
      </w:r>
    </w:p>
    <w:p>
      <w:pPr>
        <w:pStyle w:val="ListBullet"/>
        <w:spacing w:after="60"/>
        <w:ind w:left="340"/>
      </w:pPr>
      <w:r>
        <w:rPr>
          <w:rFonts w:ascii="Calibri" w:hAnsi="Calibri"/>
          <w:sz w:val="22"/>
        </w:rPr>
        <w:t>Pipeline commercial : nombre de propositions, hit-rate, valeur moyenne, durée du cycle de vente</w:t>
      </w:r>
    </w:p>
    <w:p>
      <w:pPr>
        <w:pStyle w:val="ListBullet"/>
        <w:spacing w:after="60"/>
        <w:ind w:left="340"/>
      </w:pPr>
      <w:r>
        <w:rPr>
          <w:rFonts w:ascii="Calibri" w:hAnsi="Calibri"/>
          <w:sz w:val="22"/>
        </w:rPr>
        <w:t>Charges de structure : siège, IT, marketing, business development, gouvernance</w:t>
      </w:r>
    </w:p>
    <w:p>
      <w:pPr>
        <w:pStyle w:val="ListBullet"/>
        <w:spacing w:after="60"/>
        <w:ind w:left="340"/>
      </w:pPr>
      <w:r>
        <w:rPr>
          <w:rFonts w:ascii="Calibri" w:hAnsi="Calibri"/>
          <w:sz w:val="22"/>
        </w:rPr>
        <w:t>Sous-traitance &amp; freelances : volume, mark-up appliqué</w:t>
      </w:r>
    </w:p>
    <w:p>
      <w:pPr>
        <w:pStyle w:val="Heading3"/>
        <w:spacing w:before="180" w:after="120"/>
      </w:pPr>
      <w:r>
        <w:rPr>
          <w:rFonts w:ascii="Calibri" w:hAnsi="Calibri"/>
          <w:b/>
          <w:color w:val="0A2540"/>
          <w:sz w:val="26"/>
        </w:rPr>
        <w:t>Règles de calcul critiques</w:t>
      </w:r>
    </w:p>
    <w:tbl>
      <w:tblPr>
        <w:tblW w:type="auto" w:w="0"/>
        <w:jc w:val="center"/>
        <w:tblLayout w:type="fixed"/>
        <w:tblLook w:firstColumn="1" w:firstRow="1" w:lastColumn="0" w:lastRow="0" w:noHBand="0" w:noVBand="1" w:val="04A0"/>
      </w:tblPr>
      <w:tblGrid>
        <w:gridCol w:w="4703"/>
        <w:gridCol w:w="4703"/>
      </w:tblGrid>
      <w:tr>
        <w:tc>
          <w:tcPr>
            <w:tcW w:type="dxa" w:w="2835"/>
            <w:shd w:val="clear" w:color="auto" w:fill="0A2540"/>
            <w:tcBorders>
              <w:top w:val="single" w:sz="4" w:color="BFBFBF"/>
              <w:left w:val="single" w:sz="4" w:color="BFBFBF"/>
              <w:bottom w:val="single" w:sz="4" w:color="BFBFBF"/>
              <w:right w:val="single" w:sz="4" w:color="BFBFBF"/>
            </w:tcBorders>
            <w:vAlign w:val="center"/>
          </w:tcPr>
          <w:p>
            <w:pPr>
              <w:jc w:val="center"/>
            </w:pPr>
            <w:r>
              <w:rPr>
                <w:rFonts w:ascii="Calibri" w:hAnsi="Calibri"/>
                <w:b/>
                <w:color w:val="FFFFFF"/>
                <w:sz w:val="20"/>
              </w:rPr>
              <w:t>Calcul</w:t>
            </w:r>
          </w:p>
        </w:tc>
        <w:tc>
          <w:tcPr>
            <w:tcW w:type="dxa" w:w="6236"/>
            <w:shd w:val="clear" w:color="auto" w:fill="0A2540"/>
            <w:tcBorders>
              <w:top w:val="single" w:sz="4" w:color="BFBFBF"/>
              <w:left w:val="single" w:sz="4" w:color="BFBFBF"/>
              <w:bottom w:val="single" w:sz="4" w:color="BFBFBF"/>
              <w:right w:val="single" w:sz="4" w:color="BFBFBF"/>
            </w:tcBorders>
            <w:vAlign w:val="center"/>
          </w:tcPr>
          <w:p>
            <w:pPr>
              <w:jc w:val="center"/>
            </w:pPr>
            <w:r>
              <w:rPr>
                <w:rFonts w:ascii="Calibri" w:hAnsi="Calibri"/>
                <w:b/>
                <w:color w:val="FFFFFF"/>
                <w:sz w:val="20"/>
              </w:rPr>
              <w:t>Formule type</w:t>
            </w:r>
          </w:p>
        </w:tc>
      </w:tr>
      <w:tr>
        <w:tc>
          <w:tcPr>
            <w:tcW w:type="dxa" w:w="2835"/>
            <w:tcBorders>
              <w:top w:val="single" w:sz="4" w:color="BFBFBF"/>
              <w:left w:val="single" w:sz="4" w:color="BFBFBF"/>
              <w:bottom w:val="single" w:sz="4" w:color="BFBFBF"/>
              <w:right w:val="single" w:sz="4" w:color="BFBFBF"/>
            </w:tcBorders>
            <w:vAlign w:val="center"/>
          </w:tcPr>
          <w:p>
            <w:r>
              <w:rPr>
                <w:rFonts w:ascii="Calibri" w:hAnsi="Calibri"/>
                <w:sz w:val="20"/>
              </w:rPr>
              <w:t>Revenu mission</w:t>
            </w:r>
          </w:p>
        </w:tc>
        <w:tc>
          <w:tcPr>
            <w:tcW w:type="dxa" w:w="6236"/>
            <w:tcBorders>
              <w:top w:val="single" w:sz="4" w:color="BFBFBF"/>
              <w:left w:val="single" w:sz="4" w:color="BFBFBF"/>
              <w:bottom w:val="single" w:sz="4" w:color="BFBFBF"/>
              <w:right w:val="single" w:sz="4" w:color="BFBFBF"/>
            </w:tcBorders>
            <w:vAlign w:val="center"/>
          </w:tcPr>
          <w:p>
            <w:r>
              <w:rPr>
                <w:rFonts w:ascii="Calibri" w:hAnsi="Calibri"/>
                <w:sz w:val="20"/>
              </w:rPr>
              <w:t>Jours facturés × TJM (T&amp;M) ou Forfait reconnu à l'avancement</w:t>
            </w:r>
          </w:p>
        </w:tc>
      </w:tr>
      <w:tr>
        <w:tc>
          <w:tcPr>
            <w:tcW w:type="dxa" w:w="2835"/>
            <w:shd w:val="clear" w:color="auto" w:fill="F2F2F2"/>
            <w:tcBorders>
              <w:top w:val="single" w:sz="4" w:color="BFBFBF"/>
              <w:left w:val="single" w:sz="4" w:color="BFBFBF"/>
              <w:bottom w:val="single" w:sz="4" w:color="BFBFBF"/>
              <w:right w:val="single" w:sz="4" w:color="BFBFBF"/>
            </w:tcBorders>
            <w:vAlign w:val="center"/>
          </w:tcPr>
          <w:p>
            <w:r>
              <w:rPr>
                <w:rFonts w:ascii="Calibri" w:hAnsi="Calibri"/>
                <w:sz w:val="20"/>
              </w:rPr>
              <w:t>Capacité totale facturable</w:t>
            </w:r>
          </w:p>
        </w:tc>
        <w:tc>
          <w:tcPr>
            <w:tcW w:type="dxa" w:w="6236"/>
            <w:shd w:val="clear" w:color="auto" w:fill="F2F2F2"/>
            <w:tcBorders>
              <w:top w:val="single" w:sz="4" w:color="BFBFBF"/>
              <w:left w:val="single" w:sz="4" w:color="BFBFBF"/>
              <w:bottom w:val="single" w:sz="4" w:color="BFBFBF"/>
              <w:right w:val="single" w:sz="4" w:color="BFBFBF"/>
            </w:tcBorders>
            <w:vAlign w:val="center"/>
          </w:tcPr>
          <w:p>
            <w:r>
              <w:rPr>
                <w:rFonts w:ascii="Calibri" w:hAnsi="Calibri"/>
                <w:sz w:val="20"/>
              </w:rPr>
              <w:t>Σ(ETP × Jours ouvrables × Utilization rate)</w:t>
            </w:r>
          </w:p>
        </w:tc>
      </w:tr>
      <w:tr>
        <w:tc>
          <w:tcPr>
            <w:tcW w:type="dxa" w:w="2835"/>
            <w:tcBorders>
              <w:top w:val="single" w:sz="4" w:color="BFBFBF"/>
              <w:left w:val="single" w:sz="4" w:color="BFBFBF"/>
              <w:bottom w:val="single" w:sz="4" w:color="BFBFBF"/>
              <w:right w:val="single" w:sz="4" w:color="BFBFBF"/>
            </w:tcBorders>
            <w:vAlign w:val="center"/>
          </w:tcPr>
          <w:p>
            <w:r>
              <w:rPr>
                <w:rFonts w:ascii="Calibri" w:hAnsi="Calibri"/>
                <w:sz w:val="20"/>
              </w:rPr>
              <w:t>Coût direct mission</w:t>
            </w:r>
          </w:p>
        </w:tc>
        <w:tc>
          <w:tcPr>
            <w:tcW w:type="dxa" w:w="6236"/>
            <w:tcBorders>
              <w:top w:val="single" w:sz="4" w:color="BFBFBF"/>
              <w:left w:val="single" w:sz="4" w:color="BFBFBF"/>
              <w:bottom w:val="single" w:sz="4" w:color="BFBFBF"/>
              <w:right w:val="single" w:sz="4" w:color="BFBFBF"/>
            </w:tcBorders>
            <w:vAlign w:val="center"/>
          </w:tcPr>
          <w:p>
            <w:r>
              <w:rPr>
                <w:rFonts w:ascii="Calibri" w:hAnsi="Calibri"/>
                <w:sz w:val="20"/>
              </w:rPr>
              <w:t>Σ(Jours × Coût journalier consultant + sous-traitance)</w:t>
            </w:r>
          </w:p>
        </w:tc>
      </w:tr>
      <w:tr>
        <w:tc>
          <w:tcPr>
            <w:tcW w:type="dxa" w:w="2835"/>
            <w:shd w:val="clear" w:color="auto" w:fill="F2F2F2"/>
            <w:tcBorders>
              <w:top w:val="single" w:sz="4" w:color="BFBFBF"/>
              <w:left w:val="single" w:sz="4" w:color="BFBFBF"/>
              <w:bottom w:val="single" w:sz="4" w:color="BFBFBF"/>
              <w:right w:val="single" w:sz="4" w:color="BFBFBF"/>
            </w:tcBorders>
            <w:vAlign w:val="center"/>
          </w:tcPr>
          <w:p>
            <w:r>
              <w:rPr>
                <w:rFonts w:ascii="Calibri" w:hAnsi="Calibri"/>
                <w:sz w:val="20"/>
              </w:rPr>
              <w:t>Marge mission</w:t>
            </w:r>
          </w:p>
        </w:tc>
        <w:tc>
          <w:tcPr>
            <w:tcW w:type="dxa" w:w="6236"/>
            <w:shd w:val="clear" w:color="auto" w:fill="F2F2F2"/>
            <w:tcBorders>
              <w:top w:val="single" w:sz="4" w:color="BFBFBF"/>
              <w:left w:val="single" w:sz="4" w:color="BFBFBF"/>
              <w:bottom w:val="single" w:sz="4" w:color="BFBFBF"/>
              <w:right w:val="single" w:sz="4" w:color="BFBFBF"/>
            </w:tcBorders>
            <w:vAlign w:val="center"/>
          </w:tcPr>
          <w:p>
            <w:r>
              <w:rPr>
                <w:rFonts w:ascii="Calibri" w:hAnsi="Calibri"/>
                <w:sz w:val="20"/>
              </w:rPr>
              <w:t>Revenu - Coût direct - Frais directs (déplacements)</w:t>
            </w:r>
          </w:p>
        </w:tc>
      </w:tr>
      <w:tr>
        <w:tc>
          <w:tcPr>
            <w:tcW w:type="dxa" w:w="2835"/>
            <w:tcBorders>
              <w:top w:val="single" w:sz="4" w:color="BFBFBF"/>
              <w:left w:val="single" w:sz="4" w:color="BFBFBF"/>
              <w:bottom w:val="single" w:sz="4" w:color="BFBFBF"/>
              <w:right w:val="single" w:sz="4" w:color="BFBFBF"/>
            </w:tcBorders>
            <w:vAlign w:val="center"/>
          </w:tcPr>
          <w:p>
            <w:r>
              <w:rPr>
                <w:rFonts w:ascii="Calibri" w:hAnsi="Calibri"/>
                <w:sz w:val="20"/>
              </w:rPr>
              <w:t>Marge par grade</w:t>
            </w:r>
          </w:p>
        </w:tc>
        <w:tc>
          <w:tcPr>
            <w:tcW w:type="dxa" w:w="6236"/>
            <w:tcBorders>
              <w:top w:val="single" w:sz="4" w:color="BFBFBF"/>
              <w:left w:val="single" w:sz="4" w:color="BFBFBF"/>
              <w:bottom w:val="single" w:sz="4" w:color="BFBFBF"/>
              <w:right w:val="single" w:sz="4" w:color="BFBFBF"/>
            </w:tcBorders>
            <w:vAlign w:val="center"/>
          </w:tcPr>
          <w:p>
            <w:r>
              <w:rPr>
                <w:rFonts w:ascii="Calibri" w:hAnsi="Calibri"/>
                <w:sz w:val="20"/>
              </w:rPr>
              <w:t>(TJM moyen - Coût journalier) × Jours facturés par grade</w:t>
            </w:r>
          </w:p>
        </w:tc>
      </w:tr>
      <w:tr>
        <w:tc>
          <w:tcPr>
            <w:tcW w:type="dxa" w:w="2835"/>
            <w:shd w:val="clear" w:color="auto" w:fill="F2F2F2"/>
            <w:tcBorders>
              <w:top w:val="single" w:sz="4" w:color="BFBFBF"/>
              <w:left w:val="single" w:sz="4" w:color="BFBFBF"/>
              <w:bottom w:val="single" w:sz="4" w:color="BFBFBF"/>
              <w:right w:val="single" w:sz="4" w:color="BFBFBF"/>
            </w:tcBorders>
            <w:vAlign w:val="center"/>
          </w:tcPr>
          <w:p>
            <w:r>
              <w:rPr>
                <w:rFonts w:ascii="Calibri" w:hAnsi="Calibri"/>
                <w:sz w:val="20"/>
              </w:rPr>
              <w:t>Pricing minimum (break-even)</w:t>
            </w:r>
          </w:p>
        </w:tc>
        <w:tc>
          <w:tcPr>
            <w:tcW w:type="dxa" w:w="6236"/>
            <w:shd w:val="clear" w:color="auto" w:fill="F2F2F2"/>
            <w:tcBorders>
              <w:top w:val="single" w:sz="4" w:color="BFBFBF"/>
              <w:left w:val="single" w:sz="4" w:color="BFBFBF"/>
              <w:bottom w:val="single" w:sz="4" w:color="BFBFBF"/>
              <w:right w:val="single" w:sz="4" w:color="BFBFBF"/>
            </w:tcBorders>
            <w:vAlign w:val="center"/>
          </w:tcPr>
          <w:p>
            <w:r>
              <w:rPr>
                <w:rFonts w:ascii="Calibri" w:hAnsi="Calibri"/>
                <w:sz w:val="20"/>
              </w:rPr>
              <w:t>Coût journalier / (Utilization × (1 - marge cible))</w:t>
            </w:r>
          </w:p>
        </w:tc>
      </w:tr>
    </w:tbl>
    <w:p>
      <w:pPr>
        <w:spacing w:after="120"/>
      </w:pPr>
    </w:p>
    <w:p>
      <w:pPr>
        <w:pStyle w:val="Heading3"/>
        <w:spacing w:before="180" w:after="120"/>
      </w:pPr>
      <w:r>
        <w:rPr>
          <w:rFonts w:ascii="Calibri" w:hAnsi="Calibri"/>
          <w:b/>
          <w:color w:val="0A2540"/>
          <w:sz w:val="26"/>
        </w:rPr>
        <w:t>KPIs et indicateurs sectoriels</w:t>
      </w:r>
    </w:p>
    <w:p>
      <w:pPr>
        <w:pStyle w:val="ListBullet"/>
        <w:spacing w:after="60"/>
        <w:ind w:left="340"/>
      </w:pPr>
      <w:r>
        <w:rPr>
          <w:rFonts w:ascii="Calibri" w:hAnsi="Calibri"/>
          <w:sz w:val="22"/>
        </w:rPr>
        <w:t>Activité : revenu total, croissance, mix forfait/T&amp;M, mix client</w:t>
      </w:r>
    </w:p>
    <w:p>
      <w:pPr>
        <w:pStyle w:val="ListBullet"/>
        <w:spacing w:after="60"/>
        <w:ind w:left="340"/>
      </w:pPr>
      <w:r>
        <w:rPr>
          <w:rFonts w:ascii="Calibri" w:hAnsi="Calibri"/>
          <w:sz w:val="22"/>
        </w:rPr>
        <w:t>Productivité : utilization rate par grade, jours facturés / consultant, TJM moyen réalisé</w:t>
      </w:r>
    </w:p>
    <w:p>
      <w:pPr>
        <w:pStyle w:val="ListBullet"/>
        <w:spacing w:after="60"/>
        <w:ind w:left="340"/>
      </w:pPr>
      <w:r>
        <w:rPr>
          <w:rFonts w:ascii="Calibri" w:hAnsi="Calibri"/>
          <w:sz w:val="22"/>
        </w:rPr>
        <w:t>Pipeline : backlog signé, propositions en cours, hit-rate, win-rate par segment</w:t>
      </w:r>
    </w:p>
    <w:p>
      <w:pPr>
        <w:pStyle w:val="ListBullet"/>
        <w:spacing w:after="60"/>
        <w:ind w:left="340"/>
      </w:pPr>
      <w:r>
        <w:rPr>
          <w:rFonts w:ascii="Calibri" w:hAnsi="Calibri"/>
          <w:sz w:val="22"/>
        </w:rPr>
        <w:t>Rentabilité : marge brute mission, marge par grade, marge par practice, EBITDA</w:t>
      </w:r>
    </w:p>
    <w:p>
      <w:pPr>
        <w:pStyle w:val="ListBullet"/>
        <w:spacing w:after="60"/>
        <w:ind w:left="340"/>
      </w:pPr>
      <w:r>
        <w:rPr>
          <w:rFonts w:ascii="Calibri" w:hAnsi="Calibri"/>
          <w:sz w:val="22"/>
        </w:rPr>
        <w:t>RH : effectifs, taux de turnover, durée moyenne en poste, ratio managers/consultants</w:t>
      </w:r>
    </w:p>
    <w:p>
      <w:pPr>
        <w:pStyle w:val="Heading3"/>
        <w:spacing w:before="180" w:after="120"/>
      </w:pPr>
      <w:r>
        <w:rPr>
          <w:rFonts w:ascii="Calibri" w:hAnsi="Calibri"/>
          <w:b/>
          <w:color w:val="0A2540"/>
          <w:sz w:val="26"/>
        </w:rPr>
        <w:t>Structure du template Services</w:t>
      </w:r>
    </w:p>
    <w:p>
      <w:pPr>
        <w:spacing w:before="0" w:after="120"/>
        <w:jc w:val="both"/>
      </w:pPr>
      <w:r>
        <w:rPr>
          <w:rFonts w:ascii="Calibri" w:hAnsi="Calibri"/>
          <w:b w:val="0"/>
          <w:i w:val="0"/>
          <w:color w:val="000000"/>
          <w:sz w:val="22"/>
        </w:rPr>
        <w:t>Le template Services comporte 12 feuilles : Notice, Hypothèses, Pyramide effectifs, Capacité &amp; utilization, Pipeline commercial, Portefeuille missions, TJM &amp; pricing, Revenus reconnus, Charges directes &amp; RH, Charges de structure, P&amp;L, KPIs &amp; marges.</w:t>
      </w:r>
    </w:p>
    <w:p>
      <w:pPr>
        <w:pStyle w:val="Heading2"/>
        <w:spacing w:before="240" w:after="120"/>
      </w:pPr>
      <w:r>
        <w:rPr>
          <w:rFonts w:ascii="Calibri" w:hAnsi="Calibri"/>
          <w:b/>
          <w:color w:val="0A2540"/>
          <w:sz w:val="30"/>
        </w:rPr>
        <w:t>5.8 Hôpitaux et établissements de santé</w:t>
      </w:r>
    </w:p>
    <w:p>
      <w:pPr>
        <w:pStyle w:val="Heading3"/>
        <w:spacing w:before="180" w:after="120"/>
      </w:pPr>
      <w:r>
        <w:rPr>
          <w:rFonts w:ascii="Calibri" w:hAnsi="Calibri"/>
          <w:b/>
          <w:color w:val="0A2540"/>
          <w:sz w:val="26"/>
        </w:rPr>
        <w:t>Description du secteur</w:t>
      </w:r>
    </w:p>
    <w:p>
      <w:pPr>
        <w:spacing w:before="0" w:after="120"/>
        <w:jc w:val="both"/>
      </w:pPr>
      <w:r>
        <w:rPr>
          <w:rFonts w:ascii="Calibri" w:hAnsi="Calibri"/>
          <w:b w:val="0"/>
          <w:i w:val="0"/>
          <w:color w:val="000000"/>
          <w:sz w:val="22"/>
        </w:rPr>
        <w:t>Le secteur de la santé en zone UEMOA/CEMAC se structure entre hôpitaux publics (généralement déficitaires, subventionnés), cliniques privées (souvent en partenariat avec assurances santé), laboratoires d'analyses, centres d'imagerie et pharmacies hospitalières. La modélisation d'un établissement hospitalier combine logique métier (séjours, actes, plateau technique) et logique financière (revenus mixtes : assurance, mutuelle, paiement direct). L'émergence de l'AMO et de la CMU dans plusieurs pays modifie progressivement les flux.</w:t>
      </w:r>
    </w:p>
    <w:p>
      <w:pPr>
        <w:pStyle w:val="Heading3"/>
        <w:spacing w:before="180" w:after="120"/>
      </w:pPr>
      <w:r>
        <w:rPr>
          <w:rFonts w:ascii="Calibri" w:hAnsi="Calibri"/>
          <w:b/>
          <w:color w:val="0A2540"/>
          <w:sz w:val="26"/>
        </w:rPr>
        <w:t>Sous-secteurs et variantes</w:t>
      </w:r>
    </w:p>
    <w:tbl>
      <w:tblPr>
        <w:tblW w:type="auto" w:w="0"/>
        <w:jc w:val="center"/>
        <w:tblLayout w:type="fixed"/>
        <w:tblLook w:firstColumn="1" w:firstRow="1" w:lastColumn="0" w:lastRow="0" w:noHBand="0" w:noVBand="1" w:val="04A0"/>
      </w:tblPr>
      <w:tblGrid>
        <w:gridCol w:w="3135"/>
        <w:gridCol w:w="3135"/>
        <w:gridCol w:w="3135"/>
      </w:tblGrid>
      <w:tr>
        <w:tc>
          <w:tcPr>
            <w:tcW w:type="dxa" w:w="2551"/>
            <w:shd w:val="clear" w:color="auto" w:fill="0A2540"/>
            <w:tcBorders>
              <w:top w:val="single" w:sz="4" w:color="BFBFBF"/>
              <w:left w:val="single" w:sz="4" w:color="BFBFBF"/>
              <w:bottom w:val="single" w:sz="4" w:color="BFBFBF"/>
              <w:right w:val="single" w:sz="4" w:color="BFBFBF"/>
            </w:tcBorders>
            <w:vAlign w:val="center"/>
          </w:tcPr>
          <w:p>
            <w:pPr>
              <w:jc w:val="center"/>
            </w:pPr>
            <w:r>
              <w:rPr>
                <w:rFonts w:ascii="Calibri" w:hAnsi="Calibri"/>
                <w:b/>
                <w:color w:val="FFFFFF"/>
                <w:sz w:val="20"/>
              </w:rPr>
              <w:t>Sous-secteur</w:t>
            </w:r>
          </w:p>
        </w:tc>
        <w:tc>
          <w:tcPr>
            <w:tcW w:type="dxa" w:w="3685"/>
            <w:shd w:val="clear" w:color="auto" w:fill="0A2540"/>
            <w:tcBorders>
              <w:top w:val="single" w:sz="4" w:color="BFBFBF"/>
              <w:left w:val="single" w:sz="4" w:color="BFBFBF"/>
              <w:bottom w:val="single" w:sz="4" w:color="BFBFBF"/>
              <w:right w:val="single" w:sz="4" w:color="BFBFBF"/>
            </w:tcBorders>
            <w:vAlign w:val="center"/>
          </w:tcPr>
          <w:p>
            <w:pPr>
              <w:jc w:val="center"/>
            </w:pPr>
            <w:r>
              <w:rPr>
                <w:rFonts w:ascii="Calibri" w:hAnsi="Calibri"/>
                <w:b/>
                <w:color w:val="FFFFFF"/>
                <w:sz w:val="20"/>
              </w:rPr>
              <w:t>Modèle économique</w:t>
            </w:r>
          </w:p>
        </w:tc>
        <w:tc>
          <w:tcPr>
            <w:tcW w:type="dxa" w:w="2268"/>
            <w:shd w:val="clear" w:color="auto" w:fill="0A2540"/>
            <w:tcBorders>
              <w:top w:val="single" w:sz="4" w:color="BFBFBF"/>
              <w:left w:val="single" w:sz="4" w:color="BFBFBF"/>
              <w:bottom w:val="single" w:sz="4" w:color="BFBFBF"/>
              <w:right w:val="single" w:sz="4" w:color="BFBFBF"/>
            </w:tcBorders>
            <w:vAlign w:val="center"/>
          </w:tcPr>
          <w:p>
            <w:pPr>
              <w:jc w:val="center"/>
            </w:pPr>
            <w:r>
              <w:rPr>
                <w:rFonts w:ascii="Calibri" w:hAnsi="Calibri"/>
                <w:b/>
                <w:color w:val="FFFFFF"/>
                <w:sz w:val="20"/>
              </w:rPr>
              <w:t>Marge EBITDA</w:t>
            </w:r>
          </w:p>
        </w:tc>
      </w:tr>
      <w:tr>
        <w:tc>
          <w:tcPr>
            <w:tcW w:type="dxa" w:w="2551"/>
            <w:tcBorders>
              <w:top w:val="single" w:sz="4" w:color="BFBFBF"/>
              <w:left w:val="single" w:sz="4" w:color="BFBFBF"/>
              <w:bottom w:val="single" w:sz="4" w:color="BFBFBF"/>
              <w:right w:val="single" w:sz="4" w:color="BFBFBF"/>
            </w:tcBorders>
            <w:vAlign w:val="center"/>
          </w:tcPr>
          <w:p>
            <w:r>
              <w:rPr>
                <w:rFonts w:ascii="Calibri" w:hAnsi="Calibri"/>
                <w:sz w:val="20"/>
              </w:rPr>
              <w:t>Hôpital privé général</w:t>
            </w:r>
          </w:p>
        </w:tc>
        <w:tc>
          <w:tcPr>
            <w:tcW w:type="dxa" w:w="3685"/>
            <w:tcBorders>
              <w:top w:val="single" w:sz="4" w:color="BFBFBF"/>
              <w:left w:val="single" w:sz="4" w:color="BFBFBF"/>
              <w:bottom w:val="single" w:sz="4" w:color="BFBFBF"/>
              <w:right w:val="single" w:sz="4" w:color="BFBFBF"/>
            </w:tcBorders>
            <w:vAlign w:val="center"/>
          </w:tcPr>
          <w:p>
            <w:r>
              <w:rPr>
                <w:rFonts w:ascii="Calibri" w:hAnsi="Calibri"/>
                <w:sz w:val="20"/>
              </w:rPr>
              <w:t>Hospitalisation + consultations + plateau</w:t>
            </w:r>
          </w:p>
        </w:tc>
        <w:tc>
          <w:tcPr>
            <w:tcW w:type="dxa" w:w="2268"/>
            <w:tcBorders>
              <w:top w:val="single" w:sz="4" w:color="BFBFBF"/>
              <w:left w:val="single" w:sz="4" w:color="BFBFBF"/>
              <w:bottom w:val="single" w:sz="4" w:color="BFBFBF"/>
              <w:right w:val="single" w:sz="4" w:color="BFBFBF"/>
            </w:tcBorders>
            <w:vAlign w:val="center"/>
          </w:tcPr>
          <w:p>
            <w:r>
              <w:rPr>
                <w:rFonts w:ascii="Calibri" w:hAnsi="Calibri"/>
                <w:sz w:val="20"/>
              </w:rPr>
              <w:t>12-20%</w:t>
            </w:r>
          </w:p>
        </w:tc>
      </w:tr>
      <w:tr>
        <w:tc>
          <w:tcPr>
            <w:tcW w:type="dxa" w:w="2551"/>
            <w:shd w:val="clear" w:color="auto" w:fill="F2F2F2"/>
            <w:tcBorders>
              <w:top w:val="single" w:sz="4" w:color="BFBFBF"/>
              <w:left w:val="single" w:sz="4" w:color="BFBFBF"/>
              <w:bottom w:val="single" w:sz="4" w:color="BFBFBF"/>
              <w:right w:val="single" w:sz="4" w:color="BFBFBF"/>
            </w:tcBorders>
            <w:vAlign w:val="center"/>
          </w:tcPr>
          <w:p>
            <w:r>
              <w:rPr>
                <w:rFonts w:ascii="Calibri" w:hAnsi="Calibri"/>
                <w:sz w:val="20"/>
              </w:rPr>
              <w:t>Clinique spécialisée</w:t>
            </w:r>
          </w:p>
        </w:tc>
        <w:tc>
          <w:tcPr>
            <w:tcW w:type="dxa" w:w="3685"/>
            <w:shd w:val="clear" w:color="auto" w:fill="F2F2F2"/>
            <w:tcBorders>
              <w:top w:val="single" w:sz="4" w:color="BFBFBF"/>
              <w:left w:val="single" w:sz="4" w:color="BFBFBF"/>
              <w:bottom w:val="single" w:sz="4" w:color="BFBFBF"/>
              <w:right w:val="single" w:sz="4" w:color="BFBFBF"/>
            </w:tcBorders>
            <w:vAlign w:val="center"/>
          </w:tcPr>
          <w:p>
            <w:r>
              <w:rPr>
                <w:rFonts w:ascii="Calibri" w:hAnsi="Calibri"/>
                <w:sz w:val="20"/>
              </w:rPr>
              <w:t>Actes spécialisés (cardio, ophtalmo, etc.)</w:t>
            </w:r>
          </w:p>
        </w:tc>
        <w:tc>
          <w:tcPr>
            <w:tcW w:type="dxa" w:w="2268"/>
            <w:shd w:val="clear" w:color="auto" w:fill="F2F2F2"/>
            <w:tcBorders>
              <w:top w:val="single" w:sz="4" w:color="BFBFBF"/>
              <w:left w:val="single" w:sz="4" w:color="BFBFBF"/>
              <w:bottom w:val="single" w:sz="4" w:color="BFBFBF"/>
              <w:right w:val="single" w:sz="4" w:color="BFBFBF"/>
            </w:tcBorders>
            <w:vAlign w:val="center"/>
          </w:tcPr>
          <w:p>
            <w:r>
              <w:rPr>
                <w:rFonts w:ascii="Calibri" w:hAnsi="Calibri"/>
                <w:sz w:val="20"/>
              </w:rPr>
              <w:t>15-25%</w:t>
            </w:r>
          </w:p>
        </w:tc>
      </w:tr>
      <w:tr>
        <w:tc>
          <w:tcPr>
            <w:tcW w:type="dxa" w:w="2551"/>
            <w:tcBorders>
              <w:top w:val="single" w:sz="4" w:color="BFBFBF"/>
              <w:left w:val="single" w:sz="4" w:color="BFBFBF"/>
              <w:bottom w:val="single" w:sz="4" w:color="BFBFBF"/>
              <w:right w:val="single" w:sz="4" w:color="BFBFBF"/>
            </w:tcBorders>
            <w:vAlign w:val="center"/>
          </w:tcPr>
          <w:p>
            <w:r>
              <w:rPr>
                <w:rFonts w:ascii="Calibri" w:hAnsi="Calibri"/>
                <w:sz w:val="20"/>
              </w:rPr>
              <w:t>Laboratoire d'analyses</w:t>
            </w:r>
          </w:p>
        </w:tc>
        <w:tc>
          <w:tcPr>
            <w:tcW w:type="dxa" w:w="3685"/>
            <w:tcBorders>
              <w:top w:val="single" w:sz="4" w:color="BFBFBF"/>
              <w:left w:val="single" w:sz="4" w:color="BFBFBF"/>
              <w:bottom w:val="single" w:sz="4" w:color="BFBFBF"/>
              <w:right w:val="single" w:sz="4" w:color="BFBFBF"/>
            </w:tcBorders>
            <w:vAlign w:val="center"/>
          </w:tcPr>
          <w:p>
            <w:r>
              <w:rPr>
                <w:rFonts w:ascii="Calibri" w:hAnsi="Calibri"/>
                <w:sz w:val="20"/>
              </w:rPr>
              <w:t>Volume d'analyses</w:t>
            </w:r>
          </w:p>
        </w:tc>
        <w:tc>
          <w:tcPr>
            <w:tcW w:type="dxa" w:w="2268"/>
            <w:tcBorders>
              <w:top w:val="single" w:sz="4" w:color="BFBFBF"/>
              <w:left w:val="single" w:sz="4" w:color="BFBFBF"/>
              <w:bottom w:val="single" w:sz="4" w:color="BFBFBF"/>
              <w:right w:val="single" w:sz="4" w:color="BFBFBF"/>
            </w:tcBorders>
            <w:vAlign w:val="center"/>
          </w:tcPr>
          <w:p>
            <w:r>
              <w:rPr>
                <w:rFonts w:ascii="Calibri" w:hAnsi="Calibri"/>
                <w:sz w:val="20"/>
              </w:rPr>
              <w:t>20-30%</w:t>
            </w:r>
          </w:p>
        </w:tc>
      </w:tr>
      <w:tr>
        <w:tc>
          <w:tcPr>
            <w:tcW w:type="dxa" w:w="2551"/>
            <w:shd w:val="clear" w:color="auto" w:fill="F2F2F2"/>
            <w:tcBorders>
              <w:top w:val="single" w:sz="4" w:color="BFBFBF"/>
              <w:left w:val="single" w:sz="4" w:color="BFBFBF"/>
              <w:bottom w:val="single" w:sz="4" w:color="BFBFBF"/>
              <w:right w:val="single" w:sz="4" w:color="BFBFBF"/>
            </w:tcBorders>
            <w:vAlign w:val="center"/>
          </w:tcPr>
          <w:p>
            <w:r>
              <w:rPr>
                <w:rFonts w:ascii="Calibri" w:hAnsi="Calibri"/>
                <w:sz w:val="20"/>
              </w:rPr>
              <w:t>Centre d'imagerie</w:t>
            </w:r>
          </w:p>
        </w:tc>
        <w:tc>
          <w:tcPr>
            <w:tcW w:type="dxa" w:w="3685"/>
            <w:shd w:val="clear" w:color="auto" w:fill="F2F2F2"/>
            <w:tcBorders>
              <w:top w:val="single" w:sz="4" w:color="BFBFBF"/>
              <w:left w:val="single" w:sz="4" w:color="BFBFBF"/>
              <w:bottom w:val="single" w:sz="4" w:color="BFBFBF"/>
              <w:right w:val="single" w:sz="4" w:color="BFBFBF"/>
            </w:tcBorders>
            <w:vAlign w:val="center"/>
          </w:tcPr>
          <w:p>
            <w:r>
              <w:rPr>
                <w:rFonts w:ascii="Calibri" w:hAnsi="Calibri"/>
                <w:sz w:val="20"/>
              </w:rPr>
              <w:t>Scanner, IRM, échographie, radio</w:t>
            </w:r>
          </w:p>
        </w:tc>
        <w:tc>
          <w:tcPr>
            <w:tcW w:type="dxa" w:w="2268"/>
            <w:shd w:val="clear" w:color="auto" w:fill="F2F2F2"/>
            <w:tcBorders>
              <w:top w:val="single" w:sz="4" w:color="BFBFBF"/>
              <w:left w:val="single" w:sz="4" w:color="BFBFBF"/>
              <w:bottom w:val="single" w:sz="4" w:color="BFBFBF"/>
              <w:right w:val="single" w:sz="4" w:color="BFBFBF"/>
            </w:tcBorders>
            <w:vAlign w:val="center"/>
          </w:tcPr>
          <w:p>
            <w:r>
              <w:rPr>
                <w:rFonts w:ascii="Calibri" w:hAnsi="Calibri"/>
                <w:sz w:val="20"/>
              </w:rPr>
              <w:t>18-28%</w:t>
            </w:r>
          </w:p>
        </w:tc>
      </w:tr>
      <w:tr>
        <w:tc>
          <w:tcPr>
            <w:tcW w:type="dxa" w:w="2551"/>
            <w:tcBorders>
              <w:top w:val="single" w:sz="4" w:color="BFBFBF"/>
              <w:left w:val="single" w:sz="4" w:color="BFBFBF"/>
              <w:bottom w:val="single" w:sz="4" w:color="BFBFBF"/>
              <w:right w:val="single" w:sz="4" w:color="BFBFBF"/>
            </w:tcBorders>
            <w:vAlign w:val="center"/>
          </w:tcPr>
          <w:p>
            <w:r>
              <w:rPr>
                <w:rFonts w:ascii="Calibri" w:hAnsi="Calibri"/>
                <w:sz w:val="20"/>
              </w:rPr>
              <w:t>Pharmacie hospitalière</w:t>
            </w:r>
          </w:p>
        </w:tc>
        <w:tc>
          <w:tcPr>
            <w:tcW w:type="dxa" w:w="3685"/>
            <w:tcBorders>
              <w:top w:val="single" w:sz="4" w:color="BFBFBF"/>
              <w:left w:val="single" w:sz="4" w:color="BFBFBF"/>
              <w:bottom w:val="single" w:sz="4" w:color="BFBFBF"/>
              <w:right w:val="single" w:sz="4" w:color="BFBFBF"/>
            </w:tcBorders>
            <w:vAlign w:val="center"/>
          </w:tcPr>
          <w:p>
            <w:r>
              <w:rPr>
                <w:rFonts w:ascii="Calibri" w:hAnsi="Calibri"/>
                <w:sz w:val="20"/>
              </w:rPr>
              <w:t>Vente médicaments + dispositifs</w:t>
            </w:r>
          </w:p>
        </w:tc>
        <w:tc>
          <w:tcPr>
            <w:tcW w:type="dxa" w:w="2268"/>
            <w:tcBorders>
              <w:top w:val="single" w:sz="4" w:color="BFBFBF"/>
              <w:left w:val="single" w:sz="4" w:color="BFBFBF"/>
              <w:bottom w:val="single" w:sz="4" w:color="BFBFBF"/>
              <w:right w:val="single" w:sz="4" w:color="BFBFBF"/>
            </w:tcBorders>
            <w:vAlign w:val="center"/>
          </w:tcPr>
          <w:p>
            <w:r>
              <w:rPr>
                <w:rFonts w:ascii="Calibri" w:hAnsi="Calibri"/>
                <w:sz w:val="20"/>
              </w:rPr>
              <w:t>12-20%</w:t>
            </w:r>
          </w:p>
        </w:tc>
      </w:tr>
      <w:tr>
        <w:tc>
          <w:tcPr>
            <w:tcW w:type="dxa" w:w="2551"/>
            <w:shd w:val="clear" w:color="auto" w:fill="F2F2F2"/>
            <w:tcBorders>
              <w:top w:val="single" w:sz="4" w:color="BFBFBF"/>
              <w:left w:val="single" w:sz="4" w:color="BFBFBF"/>
              <w:bottom w:val="single" w:sz="4" w:color="BFBFBF"/>
              <w:right w:val="single" w:sz="4" w:color="BFBFBF"/>
            </w:tcBorders>
            <w:vAlign w:val="center"/>
          </w:tcPr>
          <w:p>
            <w:r>
              <w:rPr>
                <w:rFonts w:ascii="Calibri" w:hAnsi="Calibri"/>
                <w:sz w:val="20"/>
              </w:rPr>
              <w:t>Hôpital public</w:t>
            </w:r>
          </w:p>
        </w:tc>
        <w:tc>
          <w:tcPr>
            <w:tcW w:type="dxa" w:w="3685"/>
            <w:shd w:val="clear" w:color="auto" w:fill="F2F2F2"/>
            <w:tcBorders>
              <w:top w:val="single" w:sz="4" w:color="BFBFBF"/>
              <w:left w:val="single" w:sz="4" w:color="BFBFBF"/>
              <w:bottom w:val="single" w:sz="4" w:color="BFBFBF"/>
              <w:right w:val="single" w:sz="4" w:color="BFBFBF"/>
            </w:tcBorders>
            <w:vAlign w:val="center"/>
          </w:tcPr>
          <w:p>
            <w:r>
              <w:rPr>
                <w:rFonts w:ascii="Calibri" w:hAnsi="Calibri"/>
                <w:sz w:val="20"/>
              </w:rPr>
              <w:t>Subvention + recettes propres</w:t>
            </w:r>
          </w:p>
        </w:tc>
        <w:tc>
          <w:tcPr>
            <w:tcW w:type="dxa" w:w="2268"/>
            <w:shd w:val="clear" w:color="auto" w:fill="F2F2F2"/>
            <w:tcBorders>
              <w:top w:val="single" w:sz="4" w:color="BFBFBF"/>
              <w:left w:val="single" w:sz="4" w:color="BFBFBF"/>
              <w:bottom w:val="single" w:sz="4" w:color="BFBFBF"/>
              <w:right w:val="single" w:sz="4" w:color="BFBFBF"/>
            </w:tcBorders>
            <w:vAlign w:val="center"/>
          </w:tcPr>
          <w:p>
            <w:r>
              <w:rPr>
                <w:rFonts w:ascii="Calibri" w:hAnsi="Calibri"/>
                <w:sz w:val="20"/>
              </w:rPr>
              <w:t>Souvent déficitaire</w:t>
            </w:r>
          </w:p>
        </w:tc>
      </w:tr>
    </w:tbl>
    <w:p>
      <w:pPr>
        <w:spacing w:after="120"/>
      </w:pPr>
    </w:p>
    <w:p>
      <w:pPr>
        <w:pStyle w:val="Heading3"/>
        <w:spacing w:before="180" w:after="120"/>
      </w:pPr>
      <w:r>
        <w:rPr>
          <w:rFonts w:ascii="Calibri" w:hAnsi="Calibri"/>
          <w:b/>
          <w:color w:val="0A2540"/>
          <w:sz w:val="26"/>
        </w:rPr>
        <w:t>Spécificités fiscales et réglementaires</w:t>
      </w:r>
    </w:p>
    <w:p>
      <w:pPr>
        <w:pStyle w:val="ListBullet"/>
        <w:spacing w:after="60"/>
        <w:ind w:left="340"/>
      </w:pPr>
      <w:r>
        <w:rPr>
          <w:rFonts w:ascii="Calibri" w:hAnsi="Calibri"/>
          <w:sz w:val="22"/>
        </w:rPr>
        <w:t>Régime fiscal partiellement exonéré dans plusieurs pays (TVA sur prestations médicales : exonérée en UEMOA, partiellement en CEMAC)</w:t>
      </w:r>
    </w:p>
    <w:p>
      <w:pPr>
        <w:pStyle w:val="ListBullet"/>
        <w:spacing w:after="60"/>
        <w:ind w:left="340"/>
      </w:pPr>
      <w:r>
        <w:rPr>
          <w:rFonts w:ascii="Calibri" w:hAnsi="Calibri"/>
          <w:sz w:val="22"/>
        </w:rPr>
        <w:t>Agréments obligatoires : ouverture, équipements lourds, biologistes médicaux, médecins-directeurs</w:t>
      </w:r>
    </w:p>
    <w:p>
      <w:pPr>
        <w:pStyle w:val="ListBullet"/>
        <w:spacing w:after="60"/>
        <w:ind w:left="340"/>
      </w:pPr>
      <w:r>
        <w:rPr>
          <w:rFonts w:ascii="Calibri" w:hAnsi="Calibri"/>
          <w:sz w:val="22"/>
        </w:rPr>
        <w:t>Tarification réglementée pour certains actes (consultations, hospitalisations standards) selon les pays</w:t>
      </w:r>
    </w:p>
    <w:p>
      <w:pPr>
        <w:pStyle w:val="ListBullet"/>
        <w:spacing w:after="60"/>
        <w:ind w:left="340"/>
      </w:pPr>
      <w:r>
        <w:rPr>
          <w:rFonts w:ascii="Calibri" w:hAnsi="Calibri"/>
          <w:sz w:val="22"/>
        </w:rPr>
        <w:t>Conventionnement avec organismes payeurs (assurances, mutuelles, AMO/CMU), grille tarifaire négociée</w:t>
      </w:r>
    </w:p>
    <w:p>
      <w:pPr>
        <w:pStyle w:val="ListBullet"/>
        <w:spacing w:after="60"/>
        <w:ind w:left="340"/>
      </w:pPr>
      <w:r>
        <w:rPr>
          <w:rFonts w:ascii="Calibri" w:hAnsi="Calibri"/>
          <w:sz w:val="22"/>
        </w:rPr>
        <w:t>Régime des médicaments : taxes spécifiques, contrôle des prix, marge réglementée</w:t>
      </w:r>
    </w:p>
    <w:p>
      <w:pPr>
        <w:pStyle w:val="ListBullet"/>
        <w:spacing w:after="60"/>
        <w:ind w:left="340"/>
      </w:pPr>
      <w:r>
        <w:rPr>
          <w:rFonts w:ascii="Calibri" w:hAnsi="Calibri"/>
          <w:sz w:val="22"/>
        </w:rPr>
        <w:t>Régime spécifique des déchets biomédicaux : coûts de traitement, taxes environnementales</w:t>
      </w:r>
    </w:p>
    <w:p>
      <w:pPr>
        <w:pStyle w:val="ListBullet"/>
        <w:spacing w:after="60"/>
        <w:ind w:left="340"/>
      </w:pPr>
      <w:r>
        <w:rPr>
          <w:rFonts w:ascii="Calibri" w:hAnsi="Calibri"/>
          <w:sz w:val="22"/>
        </w:rPr>
        <w:t>Pour les groupes hospitaliers internationaux : régime des prix de transfert</w:t>
      </w:r>
    </w:p>
    <w:p>
      <w:pPr>
        <w:pStyle w:val="Heading3"/>
        <w:spacing w:before="180" w:after="120"/>
      </w:pPr>
      <w:r>
        <w:rPr>
          <w:rFonts w:ascii="Calibri" w:hAnsi="Calibri"/>
          <w:b/>
          <w:color w:val="0A2540"/>
          <w:sz w:val="26"/>
        </w:rPr>
        <w:t>Modèle de revenus</w:t>
      </w:r>
    </w:p>
    <w:p>
      <w:pPr>
        <w:spacing w:before="0" w:after="120"/>
        <w:jc w:val="both"/>
      </w:pPr>
      <w:r>
        <w:rPr>
          <w:rFonts w:ascii="Calibri" w:hAnsi="Calibri"/>
          <w:b w:val="0"/>
          <w:i w:val="0"/>
          <w:color w:val="000000"/>
          <w:sz w:val="22"/>
        </w:rPr>
        <w:t>Le revenu d'un établissement de santé se décompose en flux multiples qu'il faut modéliser distinctement :</w:t>
      </w:r>
    </w:p>
    <w:tbl>
      <w:tblPr>
        <w:tblW w:type="auto" w:w="0"/>
        <w:jc w:val="center"/>
        <w:tblLayout w:type="fixed"/>
        <w:tblLook w:firstColumn="1" w:firstRow="1" w:lastColumn="0" w:lastRow="0" w:noHBand="0" w:noVBand="1" w:val="04A0"/>
      </w:tblPr>
      <w:tblGrid>
        <w:gridCol w:w="3135"/>
        <w:gridCol w:w="3135"/>
        <w:gridCol w:w="3135"/>
      </w:tblGrid>
      <w:tr>
        <w:tc>
          <w:tcPr>
            <w:tcW w:type="dxa" w:w="2835"/>
            <w:shd w:val="clear" w:color="auto" w:fill="0A2540"/>
            <w:tcBorders>
              <w:top w:val="single" w:sz="4" w:color="BFBFBF"/>
              <w:left w:val="single" w:sz="4" w:color="BFBFBF"/>
              <w:bottom w:val="single" w:sz="4" w:color="BFBFBF"/>
              <w:right w:val="single" w:sz="4" w:color="BFBFBF"/>
            </w:tcBorders>
            <w:vAlign w:val="center"/>
          </w:tcPr>
          <w:p>
            <w:pPr>
              <w:jc w:val="center"/>
            </w:pPr>
            <w:r>
              <w:rPr>
                <w:rFonts w:ascii="Calibri" w:hAnsi="Calibri"/>
                <w:b/>
                <w:color w:val="FFFFFF"/>
                <w:sz w:val="20"/>
              </w:rPr>
              <w:t>Source de revenu</w:t>
            </w:r>
          </w:p>
        </w:tc>
        <w:tc>
          <w:tcPr>
            <w:tcW w:type="dxa" w:w="3118"/>
            <w:shd w:val="clear" w:color="auto" w:fill="0A2540"/>
            <w:tcBorders>
              <w:top w:val="single" w:sz="4" w:color="BFBFBF"/>
              <w:left w:val="single" w:sz="4" w:color="BFBFBF"/>
              <w:bottom w:val="single" w:sz="4" w:color="BFBFBF"/>
              <w:right w:val="single" w:sz="4" w:color="BFBFBF"/>
            </w:tcBorders>
            <w:vAlign w:val="center"/>
          </w:tcPr>
          <w:p>
            <w:pPr>
              <w:jc w:val="center"/>
            </w:pPr>
            <w:r>
              <w:rPr>
                <w:rFonts w:ascii="Calibri" w:hAnsi="Calibri"/>
                <w:b/>
                <w:color w:val="FFFFFF"/>
                <w:sz w:val="20"/>
              </w:rPr>
              <w:t>Mode de tarification</w:t>
            </w:r>
          </w:p>
        </w:tc>
        <w:tc>
          <w:tcPr>
            <w:tcW w:type="dxa" w:w="3118"/>
            <w:shd w:val="clear" w:color="auto" w:fill="0A2540"/>
            <w:tcBorders>
              <w:top w:val="single" w:sz="4" w:color="BFBFBF"/>
              <w:left w:val="single" w:sz="4" w:color="BFBFBF"/>
              <w:bottom w:val="single" w:sz="4" w:color="BFBFBF"/>
              <w:right w:val="single" w:sz="4" w:color="BFBFBF"/>
            </w:tcBorders>
            <w:vAlign w:val="center"/>
          </w:tcPr>
          <w:p>
            <w:pPr>
              <w:jc w:val="center"/>
            </w:pPr>
            <w:r>
              <w:rPr>
                <w:rFonts w:ascii="Calibri" w:hAnsi="Calibri"/>
                <w:b/>
                <w:color w:val="FFFFFF"/>
                <w:sz w:val="20"/>
              </w:rPr>
              <w:t>Délai de paiement</w:t>
            </w:r>
          </w:p>
        </w:tc>
      </w:tr>
      <w:tr>
        <w:tc>
          <w:tcPr>
            <w:tcW w:type="dxa" w:w="2835"/>
            <w:tcBorders>
              <w:top w:val="single" w:sz="4" w:color="BFBFBF"/>
              <w:left w:val="single" w:sz="4" w:color="BFBFBF"/>
              <w:bottom w:val="single" w:sz="4" w:color="BFBFBF"/>
              <w:right w:val="single" w:sz="4" w:color="BFBFBF"/>
            </w:tcBorders>
            <w:vAlign w:val="center"/>
          </w:tcPr>
          <w:p>
            <w:r>
              <w:rPr>
                <w:rFonts w:ascii="Calibri" w:hAnsi="Calibri"/>
                <w:sz w:val="20"/>
              </w:rPr>
              <w:t>Hospitalisation (séjour)</w:t>
            </w:r>
          </w:p>
        </w:tc>
        <w:tc>
          <w:tcPr>
            <w:tcW w:type="dxa" w:w="3118"/>
            <w:tcBorders>
              <w:top w:val="single" w:sz="4" w:color="BFBFBF"/>
              <w:left w:val="single" w:sz="4" w:color="BFBFBF"/>
              <w:bottom w:val="single" w:sz="4" w:color="BFBFBF"/>
              <w:right w:val="single" w:sz="4" w:color="BFBFBF"/>
            </w:tcBorders>
            <w:vAlign w:val="center"/>
          </w:tcPr>
          <w:p>
            <w:r>
              <w:rPr>
                <w:rFonts w:ascii="Calibri" w:hAnsi="Calibri"/>
                <w:sz w:val="20"/>
              </w:rPr>
              <w:t>Forfait jour + actes (T2A-like)</w:t>
            </w:r>
          </w:p>
        </w:tc>
        <w:tc>
          <w:tcPr>
            <w:tcW w:type="dxa" w:w="3118"/>
            <w:tcBorders>
              <w:top w:val="single" w:sz="4" w:color="BFBFBF"/>
              <w:left w:val="single" w:sz="4" w:color="BFBFBF"/>
              <w:bottom w:val="single" w:sz="4" w:color="BFBFBF"/>
              <w:right w:val="single" w:sz="4" w:color="BFBFBF"/>
            </w:tcBorders>
            <w:vAlign w:val="center"/>
          </w:tcPr>
          <w:p>
            <w:r>
              <w:rPr>
                <w:rFonts w:ascii="Calibri" w:hAnsi="Calibri"/>
                <w:sz w:val="20"/>
              </w:rPr>
              <w:t>30-180 j (assurance)</w:t>
            </w:r>
          </w:p>
        </w:tc>
      </w:tr>
      <w:tr>
        <w:tc>
          <w:tcPr>
            <w:tcW w:type="dxa" w:w="2835"/>
            <w:shd w:val="clear" w:color="auto" w:fill="F2F2F2"/>
            <w:tcBorders>
              <w:top w:val="single" w:sz="4" w:color="BFBFBF"/>
              <w:left w:val="single" w:sz="4" w:color="BFBFBF"/>
              <w:bottom w:val="single" w:sz="4" w:color="BFBFBF"/>
              <w:right w:val="single" w:sz="4" w:color="BFBFBF"/>
            </w:tcBorders>
            <w:vAlign w:val="center"/>
          </w:tcPr>
          <w:p>
            <w:r>
              <w:rPr>
                <w:rFonts w:ascii="Calibri" w:hAnsi="Calibri"/>
                <w:sz w:val="20"/>
              </w:rPr>
              <w:t>Consultations externes</w:t>
            </w:r>
          </w:p>
        </w:tc>
        <w:tc>
          <w:tcPr>
            <w:tcW w:type="dxa" w:w="3118"/>
            <w:shd w:val="clear" w:color="auto" w:fill="F2F2F2"/>
            <w:tcBorders>
              <w:top w:val="single" w:sz="4" w:color="BFBFBF"/>
              <w:left w:val="single" w:sz="4" w:color="BFBFBF"/>
              <w:bottom w:val="single" w:sz="4" w:color="BFBFBF"/>
              <w:right w:val="single" w:sz="4" w:color="BFBFBF"/>
            </w:tcBorders>
            <w:vAlign w:val="center"/>
          </w:tcPr>
          <w:p>
            <w:r>
              <w:rPr>
                <w:rFonts w:ascii="Calibri" w:hAnsi="Calibri"/>
                <w:sz w:val="20"/>
              </w:rPr>
              <w:t>Tarif acte (CCAM-like)</w:t>
            </w:r>
          </w:p>
        </w:tc>
        <w:tc>
          <w:tcPr>
            <w:tcW w:type="dxa" w:w="3118"/>
            <w:shd w:val="clear" w:color="auto" w:fill="F2F2F2"/>
            <w:tcBorders>
              <w:top w:val="single" w:sz="4" w:color="BFBFBF"/>
              <w:left w:val="single" w:sz="4" w:color="BFBFBF"/>
              <w:bottom w:val="single" w:sz="4" w:color="BFBFBF"/>
              <w:right w:val="single" w:sz="4" w:color="BFBFBF"/>
            </w:tcBorders>
            <w:vAlign w:val="center"/>
          </w:tcPr>
          <w:p>
            <w:r>
              <w:rPr>
                <w:rFonts w:ascii="Calibri" w:hAnsi="Calibri"/>
                <w:sz w:val="20"/>
              </w:rPr>
              <w:t>Comptant ou 30 j</w:t>
            </w:r>
          </w:p>
        </w:tc>
      </w:tr>
      <w:tr>
        <w:tc>
          <w:tcPr>
            <w:tcW w:type="dxa" w:w="2835"/>
            <w:tcBorders>
              <w:top w:val="single" w:sz="4" w:color="BFBFBF"/>
              <w:left w:val="single" w:sz="4" w:color="BFBFBF"/>
              <w:bottom w:val="single" w:sz="4" w:color="BFBFBF"/>
              <w:right w:val="single" w:sz="4" w:color="BFBFBF"/>
            </w:tcBorders>
            <w:vAlign w:val="center"/>
          </w:tcPr>
          <w:p>
            <w:r>
              <w:rPr>
                <w:rFonts w:ascii="Calibri" w:hAnsi="Calibri"/>
                <w:sz w:val="20"/>
              </w:rPr>
              <w:t>Actes plateau technique</w:t>
            </w:r>
          </w:p>
        </w:tc>
        <w:tc>
          <w:tcPr>
            <w:tcW w:type="dxa" w:w="3118"/>
            <w:tcBorders>
              <w:top w:val="single" w:sz="4" w:color="BFBFBF"/>
              <w:left w:val="single" w:sz="4" w:color="BFBFBF"/>
              <w:bottom w:val="single" w:sz="4" w:color="BFBFBF"/>
              <w:right w:val="single" w:sz="4" w:color="BFBFBF"/>
            </w:tcBorders>
            <w:vAlign w:val="center"/>
          </w:tcPr>
          <w:p>
            <w:r>
              <w:rPr>
                <w:rFonts w:ascii="Calibri" w:hAnsi="Calibri"/>
                <w:sz w:val="20"/>
              </w:rPr>
              <w:t>Tarif acte (imagerie, biologie, bloc)</w:t>
            </w:r>
          </w:p>
        </w:tc>
        <w:tc>
          <w:tcPr>
            <w:tcW w:type="dxa" w:w="3118"/>
            <w:tcBorders>
              <w:top w:val="single" w:sz="4" w:color="BFBFBF"/>
              <w:left w:val="single" w:sz="4" w:color="BFBFBF"/>
              <w:bottom w:val="single" w:sz="4" w:color="BFBFBF"/>
              <w:right w:val="single" w:sz="4" w:color="BFBFBF"/>
            </w:tcBorders>
            <w:vAlign w:val="center"/>
          </w:tcPr>
          <w:p>
            <w:r>
              <w:rPr>
                <w:rFonts w:ascii="Calibri" w:hAnsi="Calibri"/>
                <w:sz w:val="20"/>
              </w:rPr>
              <w:t>30-90 j</w:t>
            </w:r>
          </w:p>
        </w:tc>
      </w:tr>
      <w:tr>
        <w:tc>
          <w:tcPr>
            <w:tcW w:type="dxa" w:w="2835"/>
            <w:shd w:val="clear" w:color="auto" w:fill="F2F2F2"/>
            <w:tcBorders>
              <w:top w:val="single" w:sz="4" w:color="BFBFBF"/>
              <w:left w:val="single" w:sz="4" w:color="BFBFBF"/>
              <w:bottom w:val="single" w:sz="4" w:color="BFBFBF"/>
              <w:right w:val="single" w:sz="4" w:color="BFBFBF"/>
            </w:tcBorders>
            <w:vAlign w:val="center"/>
          </w:tcPr>
          <w:p>
            <w:r>
              <w:rPr>
                <w:rFonts w:ascii="Calibri" w:hAnsi="Calibri"/>
                <w:sz w:val="20"/>
              </w:rPr>
              <w:t>Médicaments &amp; DM</w:t>
            </w:r>
          </w:p>
        </w:tc>
        <w:tc>
          <w:tcPr>
            <w:tcW w:type="dxa" w:w="3118"/>
            <w:shd w:val="clear" w:color="auto" w:fill="F2F2F2"/>
            <w:tcBorders>
              <w:top w:val="single" w:sz="4" w:color="BFBFBF"/>
              <w:left w:val="single" w:sz="4" w:color="BFBFBF"/>
              <w:bottom w:val="single" w:sz="4" w:color="BFBFBF"/>
              <w:right w:val="single" w:sz="4" w:color="BFBFBF"/>
            </w:tcBorders>
            <w:vAlign w:val="center"/>
          </w:tcPr>
          <w:p>
            <w:r>
              <w:rPr>
                <w:rFonts w:ascii="Calibri" w:hAnsi="Calibri"/>
                <w:sz w:val="20"/>
              </w:rPr>
              <w:t>Prix de vente (marge réglementée)</w:t>
            </w:r>
          </w:p>
        </w:tc>
        <w:tc>
          <w:tcPr>
            <w:tcW w:type="dxa" w:w="3118"/>
            <w:shd w:val="clear" w:color="auto" w:fill="F2F2F2"/>
            <w:tcBorders>
              <w:top w:val="single" w:sz="4" w:color="BFBFBF"/>
              <w:left w:val="single" w:sz="4" w:color="BFBFBF"/>
              <w:bottom w:val="single" w:sz="4" w:color="BFBFBF"/>
              <w:right w:val="single" w:sz="4" w:color="BFBFBF"/>
            </w:tcBorders>
            <w:vAlign w:val="center"/>
          </w:tcPr>
          <w:p>
            <w:r>
              <w:rPr>
                <w:rFonts w:ascii="Calibri" w:hAnsi="Calibri"/>
                <w:sz w:val="20"/>
              </w:rPr>
              <w:t>Comptant</w:t>
            </w:r>
          </w:p>
        </w:tc>
      </w:tr>
      <w:tr>
        <w:tc>
          <w:tcPr>
            <w:tcW w:type="dxa" w:w="2835"/>
            <w:tcBorders>
              <w:top w:val="single" w:sz="4" w:color="BFBFBF"/>
              <w:left w:val="single" w:sz="4" w:color="BFBFBF"/>
              <w:bottom w:val="single" w:sz="4" w:color="BFBFBF"/>
              <w:right w:val="single" w:sz="4" w:color="BFBFBF"/>
            </w:tcBorders>
            <w:vAlign w:val="center"/>
          </w:tcPr>
          <w:p>
            <w:r>
              <w:rPr>
                <w:rFonts w:ascii="Calibri" w:hAnsi="Calibri"/>
                <w:sz w:val="20"/>
              </w:rPr>
              <w:t>Conventions assurances</w:t>
            </w:r>
          </w:p>
        </w:tc>
        <w:tc>
          <w:tcPr>
            <w:tcW w:type="dxa" w:w="3118"/>
            <w:tcBorders>
              <w:top w:val="single" w:sz="4" w:color="BFBFBF"/>
              <w:left w:val="single" w:sz="4" w:color="BFBFBF"/>
              <w:bottom w:val="single" w:sz="4" w:color="BFBFBF"/>
              <w:right w:val="single" w:sz="4" w:color="BFBFBF"/>
            </w:tcBorders>
            <w:vAlign w:val="center"/>
          </w:tcPr>
          <w:p>
            <w:r>
              <w:rPr>
                <w:rFonts w:ascii="Calibri" w:hAnsi="Calibri"/>
                <w:sz w:val="20"/>
              </w:rPr>
              <w:t>Tarif conventionné</w:t>
            </w:r>
          </w:p>
        </w:tc>
        <w:tc>
          <w:tcPr>
            <w:tcW w:type="dxa" w:w="3118"/>
            <w:tcBorders>
              <w:top w:val="single" w:sz="4" w:color="BFBFBF"/>
              <w:left w:val="single" w:sz="4" w:color="BFBFBF"/>
              <w:bottom w:val="single" w:sz="4" w:color="BFBFBF"/>
              <w:right w:val="single" w:sz="4" w:color="BFBFBF"/>
            </w:tcBorders>
            <w:vAlign w:val="center"/>
          </w:tcPr>
          <w:p>
            <w:r>
              <w:rPr>
                <w:rFonts w:ascii="Calibri" w:hAnsi="Calibri"/>
                <w:sz w:val="20"/>
              </w:rPr>
              <w:t>30-90 j</w:t>
            </w:r>
          </w:p>
        </w:tc>
      </w:tr>
      <w:tr>
        <w:tc>
          <w:tcPr>
            <w:tcW w:type="dxa" w:w="2835"/>
            <w:shd w:val="clear" w:color="auto" w:fill="F2F2F2"/>
            <w:tcBorders>
              <w:top w:val="single" w:sz="4" w:color="BFBFBF"/>
              <w:left w:val="single" w:sz="4" w:color="BFBFBF"/>
              <w:bottom w:val="single" w:sz="4" w:color="BFBFBF"/>
              <w:right w:val="single" w:sz="4" w:color="BFBFBF"/>
            </w:tcBorders>
            <w:vAlign w:val="center"/>
          </w:tcPr>
          <w:p>
            <w:r>
              <w:rPr>
                <w:rFonts w:ascii="Calibri" w:hAnsi="Calibri"/>
                <w:sz w:val="20"/>
              </w:rPr>
              <w:t>AMO / CMU (selon pays)</w:t>
            </w:r>
          </w:p>
        </w:tc>
        <w:tc>
          <w:tcPr>
            <w:tcW w:type="dxa" w:w="3118"/>
            <w:shd w:val="clear" w:color="auto" w:fill="F2F2F2"/>
            <w:tcBorders>
              <w:top w:val="single" w:sz="4" w:color="BFBFBF"/>
              <w:left w:val="single" w:sz="4" w:color="BFBFBF"/>
              <w:bottom w:val="single" w:sz="4" w:color="BFBFBF"/>
              <w:right w:val="single" w:sz="4" w:color="BFBFBF"/>
            </w:tcBorders>
            <w:vAlign w:val="center"/>
          </w:tcPr>
          <w:p>
            <w:r>
              <w:rPr>
                <w:rFonts w:ascii="Calibri" w:hAnsi="Calibri"/>
                <w:sz w:val="20"/>
              </w:rPr>
              <w:t>Tarif réglementé</w:t>
            </w:r>
          </w:p>
        </w:tc>
        <w:tc>
          <w:tcPr>
            <w:tcW w:type="dxa" w:w="3118"/>
            <w:shd w:val="clear" w:color="auto" w:fill="F2F2F2"/>
            <w:tcBorders>
              <w:top w:val="single" w:sz="4" w:color="BFBFBF"/>
              <w:left w:val="single" w:sz="4" w:color="BFBFBF"/>
              <w:bottom w:val="single" w:sz="4" w:color="BFBFBF"/>
              <w:right w:val="single" w:sz="4" w:color="BFBFBF"/>
            </w:tcBorders>
            <w:vAlign w:val="center"/>
          </w:tcPr>
          <w:p>
            <w:r>
              <w:rPr>
                <w:rFonts w:ascii="Calibri" w:hAnsi="Calibri"/>
                <w:sz w:val="20"/>
              </w:rPr>
              <w:t>60-180 j (variable)</w:t>
            </w:r>
          </w:p>
        </w:tc>
      </w:tr>
      <w:tr>
        <w:tc>
          <w:tcPr>
            <w:tcW w:type="dxa" w:w="2835"/>
            <w:tcBorders>
              <w:top w:val="single" w:sz="4" w:color="BFBFBF"/>
              <w:left w:val="single" w:sz="4" w:color="BFBFBF"/>
              <w:bottom w:val="single" w:sz="4" w:color="BFBFBF"/>
              <w:right w:val="single" w:sz="4" w:color="BFBFBF"/>
            </w:tcBorders>
            <w:vAlign w:val="center"/>
          </w:tcPr>
          <w:p>
            <w:r>
              <w:rPr>
                <w:rFonts w:ascii="Calibri" w:hAnsi="Calibri"/>
                <w:sz w:val="20"/>
              </w:rPr>
              <w:t>Paiement direct</w:t>
            </w:r>
          </w:p>
        </w:tc>
        <w:tc>
          <w:tcPr>
            <w:tcW w:type="dxa" w:w="3118"/>
            <w:tcBorders>
              <w:top w:val="single" w:sz="4" w:color="BFBFBF"/>
              <w:left w:val="single" w:sz="4" w:color="BFBFBF"/>
              <w:bottom w:val="single" w:sz="4" w:color="BFBFBF"/>
              <w:right w:val="single" w:sz="4" w:color="BFBFBF"/>
            </w:tcBorders>
            <w:vAlign w:val="center"/>
          </w:tcPr>
          <w:p>
            <w:r>
              <w:rPr>
                <w:rFonts w:ascii="Calibri" w:hAnsi="Calibri"/>
                <w:sz w:val="20"/>
              </w:rPr>
              <w:t>Tarif public</w:t>
            </w:r>
          </w:p>
        </w:tc>
        <w:tc>
          <w:tcPr>
            <w:tcW w:type="dxa" w:w="3118"/>
            <w:tcBorders>
              <w:top w:val="single" w:sz="4" w:color="BFBFBF"/>
              <w:left w:val="single" w:sz="4" w:color="BFBFBF"/>
              <w:bottom w:val="single" w:sz="4" w:color="BFBFBF"/>
              <w:right w:val="single" w:sz="4" w:color="BFBFBF"/>
            </w:tcBorders>
            <w:vAlign w:val="center"/>
          </w:tcPr>
          <w:p>
            <w:r>
              <w:rPr>
                <w:rFonts w:ascii="Calibri" w:hAnsi="Calibri"/>
                <w:sz w:val="20"/>
              </w:rPr>
              <w:t>Comptant</w:t>
            </w:r>
          </w:p>
        </w:tc>
      </w:tr>
    </w:tbl>
    <w:p>
      <w:pPr>
        <w:spacing w:after="120"/>
      </w:pPr>
    </w:p>
    <w:p>
      <w:pPr>
        <w:pStyle w:val="Heading3"/>
        <w:spacing w:before="180" w:after="120"/>
      </w:pPr>
      <w:r>
        <w:rPr>
          <w:rFonts w:ascii="Calibri" w:hAnsi="Calibri"/>
          <w:b/>
          <w:color w:val="0A2540"/>
          <w:sz w:val="26"/>
        </w:rPr>
        <w:t>Hypothèses clés (intrants paramétrables)</w:t>
      </w:r>
    </w:p>
    <w:p>
      <w:pPr>
        <w:pStyle w:val="ListBullet"/>
        <w:spacing w:after="60"/>
        <w:ind w:left="340"/>
      </w:pPr>
      <w:r>
        <w:rPr>
          <w:rFonts w:ascii="Calibri" w:hAnsi="Calibri"/>
          <w:sz w:val="22"/>
        </w:rPr>
        <w:t>Capacité : lits installés, lits ouverts (par service), nombre de blocs opératoires, consultations programmables</w:t>
      </w:r>
    </w:p>
    <w:p>
      <w:pPr>
        <w:pStyle w:val="ListBullet"/>
        <w:spacing w:after="60"/>
        <w:ind w:left="340"/>
      </w:pPr>
      <w:r>
        <w:rPr>
          <w:rFonts w:ascii="Calibri" w:hAnsi="Calibri"/>
          <w:sz w:val="22"/>
        </w:rPr>
        <w:t>Activité : taux d'occupation par service, durée moyenne de séjour (DMS), nombre d'admissions</w:t>
      </w:r>
    </w:p>
    <w:p>
      <w:pPr>
        <w:pStyle w:val="ListBullet"/>
        <w:spacing w:after="60"/>
        <w:ind w:left="340"/>
      </w:pPr>
      <w:r>
        <w:rPr>
          <w:rFonts w:ascii="Calibri" w:hAnsi="Calibri"/>
          <w:sz w:val="22"/>
        </w:rPr>
        <w:t>Casemix : mix par DRG / service (médecine, chirurgie, obstétrique, urgences), poids économique</w:t>
      </w:r>
    </w:p>
    <w:p>
      <w:pPr>
        <w:pStyle w:val="ListBullet"/>
        <w:spacing w:after="60"/>
        <w:ind w:left="340"/>
      </w:pPr>
      <w:r>
        <w:rPr>
          <w:rFonts w:ascii="Calibri" w:hAnsi="Calibri"/>
          <w:sz w:val="22"/>
        </w:rPr>
        <w:t>Tarification : tarifs par acte, par séjour, par convention (assurance, AMO, public)</w:t>
      </w:r>
    </w:p>
    <w:p>
      <w:pPr>
        <w:pStyle w:val="ListBullet"/>
        <w:spacing w:after="60"/>
        <w:ind w:left="340"/>
      </w:pPr>
      <w:r>
        <w:rPr>
          <w:rFonts w:ascii="Calibri" w:hAnsi="Calibri"/>
          <w:sz w:val="22"/>
        </w:rPr>
        <w:t>Sources de paiement : répartition % par catégorie (assurance, AMO, mutuelle, paiement direct)</w:t>
      </w:r>
    </w:p>
    <w:p>
      <w:pPr>
        <w:pStyle w:val="ListBullet"/>
        <w:spacing w:after="60"/>
        <w:ind w:left="340"/>
      </w:pPr>
      <w:r>
        <w:rPr>
          <w:rFonts w:ascii="Calibri" w:hAnsi="Calibri"/>
          <w:sz w:val="22"/>
        </w:rPr>
        <w:t>Plateau technique : volume d'actes (imagerie, biologie, exploration), tarifs</w:t>
      </w:r>
    </w:p>
    <w:p>
      <w:pPr>
        <w:pStyle w:val="ListBullet"/>
        <w:spacing w:after="60"/>
        <w:ind w:left="340"/>
      </w:pPr>
      <w:r>
        <w:rPr>
          <w:rFonts w:ascii="Calibri" w:hAnsi="Calibri"/>
          <w:sz w:val="22"/>
        </w:rPr>
        <w:t>RH médicale : praticiens (vacataires vs salariés), taux d'exercice privé, rémunération</w:t>
      </w:r>
    </w:p>
    <w:p>
      <w:pPr>
        <w:pStyle w:val="ListBullet"/>
        <w:spacing w:after="60"/>
        <w:ind w:left="340"/>
      </w:pPr>
      <w:r>
        <w:rPr>
          <w:rFonts w:ascii="Calibri" w:hAnsi="Calibri"/>
          <w:sz w:val="22"/>
        </w:rPr>
        <w:t>RH paramédicale : infirmiers, aides-soignants, techniciens, taux d'encadrement</w:t>
      </w:r>
    </w:p>
    <w:p>
      <w:pPr>
        <w:pStyle w:val="ListBullet"/>
        <w:spacing w:after="60"/>
        <w:ind w:left="340"/>
      </w:pPr>
      <w:r>
        <w:rPr>
          <w:rFonts w:ascii="Calibri" w:hAnsi="Calibri"/>
          <w:sz w:val="22"/>
        </w:rPr>
        <w:t>Médicaments &amp; consommables : coût / séjour, marge, gestion de stock</w:t>
      </w:r>
    </w:p>
    <w:p>
      <w:pPr>
        <w:pStyle w:val="ListBullet"/>
        <w:spacing w:after="60"/>
        <w:ind w:left="340"/>
      </w:pPr>
      <w:r>
        <w:rPr>
          <w:rFonts w:ascii="Calibri" w:hAnsi="Calibri"/>
          <w:sz w:val="22"/>
        </w:rPr>
        <w:t>CAPEX : équipements lourds (scanner, IRM, blocs), maintenance, renouvellement</w:t>
      </w:r>
    </w:p>
    <w:p>
      <w:pPr>
        <w:pStyle w:val="Heading3"/>
        <w:spacing w:before="180" w:after="120"/>
      </w:pPr>
      <w:r>
        <w:rPr>
          <w:rFonts w:ascii="Calibri" w:hAnsi="Calibri"/>
          <w:b/>
          <w:color w:val="0A2540"/>
          <w:sz w:val="26"/>
        </w:rPr>
        <w:t>Règles de calcul critiques</w:t>
      </w:r>
    </w:p>
    <w:tbl>
      <w:tblPr>
        <w:tblW w:type="auto" w:w="0"/>
        <w:jc w:val="center"/>
        <w:tblLayout w:type="fixed"/>
        <w:tblLook w:firstColumn="1" w:firstRow="1" w:lastColumn="0" w:lastRow="0" w:noHBand="0" w:noVBand="1" w:val="04A0"/>
      </w:tblPr>
      <w:tblGrid>
        <w:gridCol w:w="3135"/>
        <w:gridCol w:w="3135"/>
        <w:gridCol w:w="3135"/>
      </w:tblGrid>
      <w:tr>
        <w:tc>
          <w:tcPr>
            <w:tcW w:type="dxa" w:w="2835"/>
            <w:shd w:val="clear" w:color="auto" w:fill="0A2540"/>
            <w:tcBorders>
              <w:top w:val="single" w:sz="4" w:color="BFBFBF"/>
              <w:left w:val="single" w:sz="4" w:color="BFBFBF"/>
              <w:bottom w:val="single" w:sz="4" w:color="BFBFBF"/>
              <w:right w:val="single" w:sz="4" w:color="BFBFBF"/>
            </w:tcBorders>
            <w:vAlign w:val="center"/>
          </w:tcPr>
          <w:p>
            <w:pPr>
              <w:jc w:val="center"/>
            </w:pPr>
            <w:r>
              <w:rPr>
                <w:rFonts w:ascii="Calibri" w:hAnsi="Calibri"/>
                <w:b/>
                <w:color w:val="FFFFFF"/>
                <w:sz w:val="20"/>
              </w:rPr>
              <w:t>Calcul</w:t>
            </w:r>
          </w:p>
        </w:tc>
        <w:tc>
          <w:tcPr>
            <w:tcW w:type="dxa" w:w="4252"/>
            <w:shd w:val="clear" w:color="auto" w:fill="0A2540"/>
            <w:tcBorders>
              <w:top w:val="single" w:sz="4" w:color="BFBFBF"/>
              <w:left w:val="single" w:sz="4" w:color="BFBFBF"/>
              <w:bottom w:val="single" w:sz="4" w:color="BFBFBF"/>
              <w:right w:val="single" w:sz="4" w:color="BFBFBF"/>
            </w:tcBorders>
            <w:vAlign w:val="center"/>
          </w:tcPr>
          <w:p>
            <w:pPr>
              <w:jc w:val="center"/>
            </w:pPr>
            <w:r>
              <w:rPr>
                <w:rFonts w:ascii="Calibri" w:hAnsi="Calibri"/>
                <w:b/>
                <w:color w:val="FFFFFF"/>
                <w:sz w:val="20"/>
              </w:rPr>
              <w:t>Formule type</w:t>
            </w:r>
          </w:p>
        </w:tc>
        <w:tc>
          <w:tcPr>
            <w:tcW w:type="dxa" w:w="1984"/>
            <w:shd w:val="clear" w:color="auto" w:fill="0A2540"/>
            <w:tcBorders>
              <w:top w:val="single" w:sz="4" w:color="BFBFBF"/>
              <w:left w:val="single" w:sz="4" w:color="BFBFBF"/>
              <w:bottom w:val="single" w:sz="4" w:color="BFBFBF"/>
              <w:right w:val="single" w:sz="4" w:color="BFBFBF"/>
            </w:tcBorders>
            <w:vAlign w:val="center"/>
          </w:tcPr>
          <w:p>
            <w:pPr>
              <w:jc w:val="center"/>
            </w:pPr>
            <w:r>
              <w:rPr>
                <w:rFonts w:ascii="Calibri" w:hAnsi="Calibri"/>
                <w:b/>
                <w:color w:val="FFFFFF"/>
                <w:sz w:val="20"/>
              </w:rPr>
              <w:t>Application</w:t>
            </w:r>
          </w:p>
        </w:tc>
      </w:tr>
      <w:tr>
        <w:tc>
          <w:tcPr>
            <w:tcW w:type="dxa" w:w="2835"/>
            <w:tcBorders>
              <w:top w:val="single" w:sz="4" w:color="BFBFBF"/>
              <w:left w:val="single" w:sz="4" w:color="BFBFBF"/>
              <w:bottom w:val="single" w:sz="4" w:color="BFBFBF"/>
              <w:right w:val="single" w:sz="4" w:color="BFBFBF"/>
            </w:tcBorders>
            <w:vAlign w:val="center"/>
          </w:tcPr>
          <w:p>
            <w:r>
              <w:rPr>
                <w:rFonts w:ascii="Calibri" w:hAnsi="Calibri"/>
                <w:sz w:val="20"/>
              </w:rPr>
              <w:t>Taux d'occupation lits</w:t>
            </w:r>
          </w:p>
        </w:tc>
        <w:tc>
          <w:tcPr>
            <w:tcW w:type="dxa" w:w="4252"/>
            <w:tcBorders>
              <w:top w:val="single" w:sz="4" w:color="BFBFBF"/>
              <w:left w:val="single" w:sz="4" w:color="BFBFBF"/>
              <w:bottom w:val="single" w:sz="4" w:color="BFBFBF"/>
              <w:right w:val="single" w:sz="4" w:color="BFBFBF"/>
            </w:tcBorders>
            <w:vAlign w:val="center"/>
          </w:tcPr>
          <w:p>
            <w:r>
              <w:rPr>
                <w:rFonts w:ascii="Calibri" w:hAnsi="Calibri"/>
                <w:sz w:val="20"/>
              </w:rPr>
              <w:t>Journées d'hospitalisation / (Lits × Jours)</w:t>
            </w:r>
          </w:p>
        </w:tc>
        <w:tc>
          <w:tcPr>
            <w:tcW w:type="dxa" w:w="1984"/>
            <w:tcBorders>
              <w:top w:val="single" w:sz="4" w:color="BFBFBF"/>
              <w:left w:val="single" w:sz="4" w:color="BFBFBF"/>
              <w:bottom w:val="single" w:sz="4" w:color="BFBFBF"/>
              <w:right w:val="single" w:sz="4" w:color="BFBFBF"/>
            </w:tcBorders>
            <w:vAlign w:val="center"/>
          </w:tcPr>
          <w:p>
            <w:r>
              <w:rPr>
                <w:rFonts w:ascii="Calibri" w:hAnsi="Calibri"/>
                <w:sz w:val="20"/>
              </w:rPr>
              <w:t>Plan capacité</w:t>
            </w:r>
          </w:p>
        </w:tc>
      </w:tr>
      <w:tr>
        <w:tc>
          <w:tcPr>
            <w:tcW w:type="dxa" w:w="2835"/>
            <w:shd w:val="clear" w:color="auto" w:fill="F2F2F2"/>
            <w:tcBorders>
              <w:top w:val="single" w:sz="4" w:color="BFBFBF"/>
              <w:left w:val="single" w:sz="4" w:color="BFBFBF"/>
              <w:bottom w:val="single" w:sz="4" w:color="BFBFBF"/>
              <w:right w:val="single" w:sz="4" w:color="BFBFBF"/>
            </w:tcBorders>
            <w:vAlign w:val="center"/>
          </w:tcPr>
          <w:p>
            <w:r>
              <w:rPr>
                <w:rFonts w:ascii="Calibri" w:hAnsi="Calibri"/>
                <w:sz w:val="20"/>
              </w:rPr>
              <w:t>DMS (durée moyenne séjour)</w:t>
            </w:r>
          </w:p>
        </w:tc>
        <w:tc>
          <w:tcPr>
            <w:tcW w:type="dxa" w:w="4252"/>
            <w:shd w:val="clear" w:color="auto" w:fill="F2F2F2"/>
            <w:tcBorders>
              <w:top w:val="single" w:sz="4" w:color="BFBFBF"/>
              <w:left w:val="single" w:sz="4" w:color="BFBFBF"/>
              <w:bottom w:val="single" w:sz="4" w:color="BFBFBF"/>
              <w:right w:val="single" w:sz="4" w:color="BFBFBF"/>
            </w:tcBorders>
            <w:vAlign w:val="center"/>
          </w:tcPr>
          <w:p>
            <w:r>
              <w:rPr>
                <w:rFonts w:ascii="Calibri" w:hAnsi="Calibri"/>
                <w:sz w:val="20"/>
              </w:rPr>
              <w:t>Σ Journées / Σ Sorties</w:t>
            </w:r>
          </w:p>
        </w:tc>
        <w:tc>
          <w:tcPr>
            <w:tcW w:type="dxa" w:w="1984"/>
            <w:shd w:val="clear" w:color="auto" w:fill="F2F2F2"/>
            <w:tcBorders>
              <w:top w:val="single" w:sz="4" w:color="BFBFBF"/>
              <w:left w:val="single" w:sz="4" w:color="BFBFBF"/>
              <w:bottom w:val="single" w:sz="4" w:color="BFBFBF"/>
              <w:right w:val="single" w:sz="4" w:color="BFBFBF"/>
            </w:tcBorders>
            <w:vAlign w:val="center"/>
          </w:tcPr>
          <w:p>
            <w:r>
              <w:rPr>
                <w:rFonts w:ascii="Calibri" w:hAnsi="Calibri"/>
                <w:sz w:val="20"/>
              </w:rPr>
              <w:t>Performance organisationnelle</w:t>
            </w:r>
          </w:p>
        </w:tc>
      </w:tr>
      <w:tr>
        <w:tc>
          <w:tcPr>
            <w:tcW w:type="dxa" w:w="2835"/>
            <w:tcBorders>
              <w:top w:val="single" w:sz="4" w:color="BFBFBF"/>
              <w:left w:val="single" w:sz="4" w:color="BFBFBF"/>
              <w:bottom w:val="single" w:sz="4" w:color="BFBFBF"/>
              <w:right w:val="single" w:sz="4" w:color="BFBFBF"/>
            </w:tcBorders>
            <w:vAlign w:val="center"/>
          </w:tcPr>
          <w:p>
            <w:r>
              <w:rPr>
                <w:rFonts w:ascii="Calibri" w:hAnsi="Calibri"/>
                <w:sz w:val="20"/>
              </w:rPr>
              <w:t>IRSC (indice ressources/case)</w:t>
            </w:r>
          </w:p>
        </w:tc>
        <w:tc>
          <w:tcPr>
            <w:tcW w:type="dxa" w:w="4252"/>
            <w:tcBorders>
              <w:top w:val="single" w:sz="4" w:color="BFBFBF"/>
              <w:left w:val="single" w:sz="4" w:color="BFBFBF"/>
              <w:bottom w:val="single" w:sz="4" w:color="BFBFBF"/>
              <w:right w:val="single" w:sz="4" w:color="BFBFBF"/>
            </w:tcBorders>
            <w:vAlign w:val="center"/>
          </w:tcPr>
          <w:p>
            <w:r>
              <w:rPr>
                <w:rFonts w:ascii="Calibri" w:hAnsi="Calibri"/>
                <w:sz w:val="20"/>
              </w:rPr>
              <w:t>Σ Poids casemix / Σ Séjours</w:t>
            </w:r>
          </w:p>
        </w:tc>
        <w:tc>
          <w:tcPr>
            <w:tcW w:type="dxa" w:w="1984"/>
            <w:tcBorders>
              <w:top w:val="single" w:sz="4" w:color="BFBFBF"/>
              <w:left w:val="single" w:sz="4" w:color="BFBFBF"/>
              <w:bottom w:val="single" w:sz="4" w:color="BFBFBF"/>
              <w:right w:val="single" w:sz="4" w:color="BFBFBF"/>
            </w:tcBorders>
            <w:vAlign w:val="center"/>
          </w:tcPr>
          <w:p>
            <w:r>
              <w:rPr>
                <w:rFonts w:ascii="Calibri" w:hAnsi="Calibri"/>
                <w:sz w:val="20"/>
              </w:rPr>
              <w:t>Lourdeur activité</w:t>
            </w:r>
          </w:p>
        </w:tc>
      </w:tr>
      <w:tr>
        <w:tc>
          <w:tcPr>
            <w:tcW w:type="dxa" w:w="2835"/>
            <w:shd w:val="clear" w:color="auto" w:fill="F2F2F2"/>
            <w:tcBorders>
              <w:top w:val="single" w:sz="4" w:color="BFBFBF"/>
              <w:left w:val="single" w:sz="4" w:color="BFBFBF"/>
              <w:bottom w:val="single" w:sz="4" w:color="BFBFBF"/>
              <w:right w:val="single" w:sz="4" w:color="BFBFBF"/>
            </w:tcBorders>
            <w:vAlign w:val="center"/>
          </w:tcPr>
          <w:p>
            <w:r>
              <w:rPr>
                <w:rFonts w:ascii="Calibri" w:hAnsi="Calibri"/>
                <w:sz w:val="20"/>
              </w:rPr>
              <w:t>Revenu par séjour</w:t>
            </w:r>
          </w:p>
        </w:tc>
        <w:tc>
          <w:tcPr>
            <w:tcW w:type="dxa" w:w="4252"/>
            <w:shd w:val="clear" w:color="auto" w:fill="F2F2F2"/>
            <w:tcBorders>
              <w:top w:val="single" w:sz="4" w:color="BFBFBF"/>
              <w:left w:val="single" w:sz="4" w:color="BFBFBF"/>
              <w:bottom w:val="single" w:sz="4" w:color="BFBFBF"/>
              <w:right w:val="single" w:sz="4" w:color="BFBFBF"/>
            </w:tcBorders>
            <w:vAlign w:val="center"/>
          </w:tcPr>
          <w:p>
            <w:r>
              <w:rPr>
                <w:rFonts w:ascii="Calibri" w:hAnsi="Calibri"/>
                <w:sz w:val="20"/>
              </w:rPr>
              <w:t>Σ Actes par séjour × Tarif</w:t>
            </w:r>
          </w:p>
        </w:tc>
        <w:tc>
          <w:tcPr>
            <w:tcW w:type="dxa" w:w="1984"/>
            <w:shd w:val="clear" w:color="auto" w:fill="F2F2F2"/>
            <w:tcBorders>
              <w:top w:val="single" w:sz="4" w:color="BFBFBF"/>
              <w:left w:val="single" w:sz="4" w:color="BFBFBF"/>
              <w:bottom w:val="single" w:sz="4" w:color="BFBFBF"/>
              <w:right w:val="single" w:sz="4" w:color="BFBFBF"/>
            </w:tcBorders>
            <w:vAlign w:val="center"/>
          </w:tcPr>
          <w:p>
            <w:r>
              <w:rPr>
                <w:rFonts w:ascii="Calibri" w:hAnsi="Calibri"/>
                <w:sz w:val="20"/>
              </w:rPr>
              <w:t>Tarification mixte</w:t>
            </w:r>
          </w:p>
        </w:tc>
      </w:tr>
      <w:tr>
        <w:tc>
          <w:tcPr>
            <w:tcW w:type="dxa" w:w="2835"/>
            <w:tcBorders>
              <w:top w:val="single" w:sz="4" w:color="BFBFBF"/>
              <w:left w:val="single" w:sz="4" w:color="BFBFBF"/>
              <w:bottom w:val="single" w:sz="4" w:color="BFBFBF"/>
              <w:right w:val="single" w:sz="4" w:color="BFBFBF"/>
            </w:tcBorders>
            <w:vAlign w:val="center"/>
          </w:tcPr>
          <w:p>
            <w:r>
              <w:rPr>
                <w:rFonts w:ascii="Calibri" w:hAnsi="Calibri"/>
                <w:sz w:val="20"/>
              </w:rPr>
              <w:t>Taux de recouvrement</w:t>
            </w:r>
          </w:p>
        </w:tc>
        <w:tc>
          <w:tcPr>
            <w:tcW w:type="dxa" w:w="4252"/>
            <w:tcBorders>
              <w:top w:val="single" w:sz="4" w:color="BFBFBF"/>
              <w:left w:val="single" w:sz="4" w:color="BFBFBF"/>
              <w:bottom w:val="single" w:sz="4" w:color="BFBFBF"/>
              <w:right w:val="single" w:sz="4" w:color="BFBFBF"/>
            </w:tcBorders>
            <w:vAlign w:val="center"/>
          </w:tcPr>
          <w:p>
            <w:r>
              <w:rPr>
                <w:rFonts w:ascii="Calibri" w:hAnsi="Calibri"/>
                <w:sz w:val="20"/>
              </w:rPr>
              <w:t>Encaissements / Facturations</w:t>
            </w:r>
          </w:p>
        </w:tc>
        <w:tc>
          <w:tcPr>
            <w:tcW w:type="dxa" w:w="1984"/>
            <w:tcBorders>
              <w:top w:val="single" w:sz="4" w:color="BFBFBF"/>
              <w:left w:val="single" w:sz="4" w:color="BFBFBF"/>
              <w:bottom w:val="single" w:sz="4" w:color="BFBFBF"/>
              <w:right w:val="single" w:sz="4" w:color="BFBFBF"/>
            </w:tcBorders>
            <w:vAlign w:val="center"/>
          </w:tcPr>
          <w:p>
            <w:r>
              <w:rPr>
                <w:rFonts w:ascii="Calibri" w:hAnsi="Calibri"/>
                <w:sz w:val="20"/>
              </w:rPr>
              <w:t>Risque payeur</w:t>
            </w:r>
          </w:p>
        </w:tc>
      </w:tr>
      <w:tr>
        <w:tc>
          <w:tcPr>
            <w:tcW w:type="dxa" w:w="2835"/>
            <w:shd w:val="clear" w:color="auto" w:fill="F2F2F2"/>
            <w:tcBorders>
              <w:top w:val="single" w:sz="4" w:color="BFBFBF"/>
              <w:left w:val="single" w:sz="4" w:color="BFBFBF"/>
              <w:bottom w:val="single" w:sz="4" w:color="BFBFBF"/>
              <w:right w:val="single" w:sz="4" w:color="BFBFBF"/>
            </w:tcBorders>
            <w:vAlign w:val="center"/>
          </w:tcPr>
          <w:p>
            <w:r>
              <w:rPr>
                <w:rFonts w:ascii="Calibri" w:hAnsi="Calibri"/>
                <w:sz w:val="20"/>
              </w:rPr>
              <w:t>Coût par lit ouvert</w:t>
            </w:r>
          </w:p>
        </w:tc>
        <w:tc>
          <w:tcPr>
            <w:tcW w:type="dxa" w:w="4252"/>
            <w:shd w:val="clear" w:color="auto" w:fill="F2F2F2"/>
            <w:tcBorders>
              <w:top w:val="single" w:sz="4" w:color="BFBFBF"/>
              <w:left w:val="single" w:sz="4" w:color="BFBFBF"/>
              <w:bottom w:val="single" w:sz="4" w:color="BFBFBF"/>
              <w:right w:val="single" w:sz="4" w:color="BFBFBF"/>
            </w:tcBorders>
            <w:vAlign w:val="center"/>
          </w:tcPr>
          <w:p>
            <w:r>
              <w:rPr>
                <w:rFonts w:ascii="Calibri" w:hAnsi="Calibri"/>
                <w:sz w:val="20"/>
              </w:rPr>
              <w:t>Charges fixes / Lits ouverts</w:t>
            </w:r>
          </w:p>
        </w:tc>
        <w:tc>
          <w:tcPr>
            <w:tcW w:type="dxa" w:w="1984"/>
            <w:shd w:val="clear" w:color="auto" w:fill="F2F2F2"/>
            <w:tcBorders>
              <w:top w:val="single" w:sz="4" w:color="BFBFBF"/>
              <w:left w:val="single" w:sz="4" w:color="BFBFBF"/>
              <w:bottom w:val="single" w:sz="4" w:color="BFBFBF"/>
              <w:right w:val="single" w:sz="4" w:color="BFBFBF"/>
            </w:tcBorders>
            <w:vAlign w:val="center"/>
          </w:tcPr>
          <w:p>
            <w:r>
              <w:rPr>
                <w:rFonts w:ascii="Calibri" w:hAnsi="Calibri"/>
                <w:sz w:val="20"/>
              </w:rPr>
              <w:t>Productivité</w:t>
            </w:r>
          </w:p>
        </w:tc>
      </w:tr>
      <w:tr>
        <w:tc>
          <w:tcPr>
            <w:tcW w:type="dxa" w:w="2835"/>
            <w:tcBorders>
              <w:top w:val="single" w:sz="4" w:color="BFBFBF"/>
              <w:left w:val="single" w:sz="4" w:color="BFBFBF"/>
              <w:bottom w:val="single" w:sz="4" w:color="BFBFBF"/>
              <w:right w:val="single" w:sz="4" w:color="BFBFBF"/>
            </w:tcBorders>
            <w:vAlign w:val="center"/>
          </w:tcPr>
          <w:p>
            <w:r>
              <w:rPr>
                <w:rFonts w:ascii="Calibri" w:hAnsi="Calibri"/>
                <w:sz w:val="20"/>
              </w:rPr>
              <w:t>Marge plateau technique</w:t>
            </w:r>
          </w:p>
        </w:tc>
        <w:tc>
          <w:tcPr>
            <w:tcW w:type="dxa" w:w="4252"/>
            <w:tcBorders>
              <w:top w:val="single" w:sz="4" w:color="BFBFBF"/>
              <w:left w:val="single" w:sz="4" w:color="BFBFBF"/>
              <w:bottom w:val="single" w:sz="4" w:color="BFBFBF"/>
              <w:right w:val="single" w:sz="4" w:color="BFBFBF"/>
            </w:tcBorders>
            <w:vAlign w:val="center"/>
          </w:tcPr>
          <w:p>
            <w:r>
              <w:rPr>
                <w:rFonts w:ascii="Calibri" w:hAnsi="Calibri"/>
                <w:sz w:val="20"/>
              </w:rPr>
              <w:t>(Tarif - Coût direct) / Tarif × Volume</w:t>
            </w:r>
          </w:p>
        </w:tc>
        <w:tc>
          <w:tcPr>
            <w:tcW w:type="dxa" w:w="1984"/>
            <w:tcBorders>
              <w:top w:val="single" w:sz="4" w:color="BFBFBF"/>
              <w:left w:val="single" w:sz="4" w:color="BFBFBF"/>
              <w:bottom w:val="single" w:sz="4" w:color="BFBFBF"/>
              <w:right w:val="single" w:sz="4" w:color="BFBFBF"/>
            </w:tcBorders>
            <w:vAlign w:val="center"/>
          </w:tcPr>
          <w:p>
            <w:r>
              <w:rPr>
                <w:rFonts w:ascii="Calibri" w:hAnsi="Calibri"/>
                <w:sz w:val="20"/>
              </w:rPr>
              <w:t>Pricing</w:t>
            </w:r>
          </w:p>
        </w:tc>
      </w:tr>
      <w:tr>
        <w:tc>
          <w:tcPr>
            <w:tcW w:type="dxa" w:w="2835"/>
            <w:shd w:val="clear" w:color="auto" w:fill="F2F2F2"/>
            <w:tcBorders>
              <w:top w:val="single" w:sz="4" w:color="BFBFBF"/>
              <w:left w:val="single" w:sz="4" w:color="BFBFBF"/>
              <w:bottom w:val="single" w:sz="4" w:color="BFBFBF"/>
              <w:right w:val="single" w:sz="4" w:color="BFBFBF"/>
            </w:tcBorders>
            <w:vAlign w:val="center"/>
          </w:tcPr>
          <w:p>
            <w:r>
              <w:rPr>
                <w:rFonts w:ascii="Calibri" w:hAnsi="Calibri"/>
                <w:sz w:val="20"/>
              </w:rPr>
              <w:t>DSO par payeur</w:t>
            </w:r>
          </w:p>
        </w:tc>
        <w:tc>
          <w:tcPr>
            <w:tcW w:type="dxa" w:w="4252"/>
            <w:shd w:val="clear" w:color="auto" w:fill="F2F2F2"/>
            <w:tcBorders>
              <w:top w:val="single" w:sz="4" w:color="BFBFBF"/>
              <w:left w:val="single" w:sz="4" w:color="BFBFBF"/>
              <w:bottom w:val="single" w:sz="4" w:color="BFBFBF"/>
              <w:right w:val="single" w:sz="4" w:color="BFBFBF"/>
            </w:tcBorders>
            <w:vAlign w:val="center"/>
          </w:tcPr>
          <w:p>
            <w:r>
              <w:rPr>
                <w:rFonts w:ascii="Calibri" w:hAnsi="Calibri"/>
                <w:sz w:val="20"/>
              </w:rPr>
              <w:t>Créances / CA × 365 (par payeur)</w:t>
            </w:r>
          </w:p>
        </w:tc>
        <w:tc>
          <w:tcPr>
            <w:tcW w:type="dxa" w:w="1984"/>
            <w:shd w:val="clear" w:color="auto" w:fill="F2F2F2"/>
            <w:tcBorders>
              <w:top w:val="single" w:sz="4" w:color="BFBFBF"/>
              <w:left w:val="single" w:sz="4" w:color="BFBFBF"/>
              <w:bottom w:val="single" w:sz="4" w:color="BFBFBF"/>
              <w:right w:val="single" w:sz="4" w:color="BFBFBF"/>
            </w:tcBorders>
            <w:vAlign w:val="center"/>
          </w:tcPr>
          <w:p>
            <w:r>
              <w:rPr>
                <w:rFonts w:ascii="Calibri" w:hAnsi="Calibri"/>
                <w:sz w:val="20"/>
              </w:rPr>
              <w:t>Gestion encours</w:t>
            </w:r>
          </w:p>
        </w:tc>
      </w:tr>
    </w:tbl>
    <w:p>
      <w:pPr>
        <w:spacing w:after="120"/>
      </w:pPr>
    </w:p>
    <w:p>
      <w:pPr>
        <w:pStyle w:val="Heading3"/>
        <w:spacing w:before="180" w:after="120"/>
      </w:pPr>
      <w:r>
        <w:rPr>
          <w:rFonts w:ascii="Calibri" w:hAnsi="Calibri"/>
          <w:b/>
          <w:color w:val="0A2540"/>
          <w:sz w:val="26"/>
        </w:rPr>
        <w:t>KPIs et indicateurs sectoriels</w:t>
      </w:r>
    </w:p>
    <w:p>
      <w:pPr>
        <w:pStyle w:val="ListBullet"/>
        <w:spacing w:after="60"/>
        <w:ind w:left="340"/>
      </w:pPr>
      <w:r>
        <w:rPr>
          <w:rFonts w:ascii="Calibri" w:hAnsi="Calibri"/>
          <w:sz w:val="22"/>
        </w:rPr>
        <w:t>Activité : journées d'hospitalisation, nombre d'admissions, consultations, actes plateau</w:t>
      </w:r>
    </w:p>
    <w:p>
      <w:pPr>
        <w:pStyle w:val="ListBullet"/>
        <w:spacing w:after="60"/>
        <w:ind w:left="340"/>
      </w:pPr>
      <w:r>
        <w:rPr>
          <w:rFonts w:ascii="Calibri" w:hAnsi="Calibri"/>
          <w:sz w:val="22"/>
        </w:rPr>
        <w:t>Performance organisationnelle : DMS, taux d'occupation, taux d'utilisation blocs, délai RDV</w:t>
      </w:r>
    </w:p>
    <w:p>
      <w:pPr>
        <w:pStyle w:val="ListBullet"/>
        <w:spacing w:after="60"/>
        <w:ind w:left="340"/>
      </w:pPr>
      <w:r>
        <w:rPr>
          <w:rFonts w:ascii="Calibri" w:hAnsi="Calibri"/>
          <w:sz w:val="22"/>
        </w:rPr>
        <w:t>Casemix : poids moyen, % activité programmée vs urgences, % chirurgie</w:t>
      </w:r>
    </w:p>
    <w:p>
      <w:pPr>
        <w:pStyle w:val="ListBullet"/>
        <w:spacing w:after="60"/>
        <w:ind w:left="340"/>
      </w:pPr>
      <w:r>
        <w:rPr>
          <w:rFonts w:ascii="Calibri" w:hAnsi="Calibri"/>
          <w:sz w:val="22"/>
        </w:rPr>
        <w:t>Économique : revenu par séjour, revenu par lit, marge par service</w:t>
      </w:r>
    </w:p>
    <w:p>
      <w:pPr>
        <w:pStyle w:val="ListBullet"/>
        <w:spacing w:after="60"/>
        <w:ind w:left="340"/>
      </w:pPr>
      <w:r>
        <w:rPr>
          <w:rFonts w:ascii="Calibri" w:hAnsi="Calibri"/>
          <w:sz w:val="22"/>
        </w:rPr>
        <w:t>Qualité : taux d'infections nosocomiales, taux de réadmission 30j, satisfaction patients</w:t>
      </w:r>
    </w:p>
    <w:p>
      <w:pPr>
        <w:pStyle w:val="ListBullet"/>
        <w:spacing w:after="60"/>
        <w:ind w:left="340"/>
      </w:pPr>
      <w:r>
        <w:rPr>
          <w:rFonts w:ascii="Calibri" w:hAnsi="Calibri"/>
          <w:sz w:val="22"/>
        </w:rPr>
        <w:t>Financier : EBITDA, marge nette, BFR / CA en jours, DSO par payeur</w:t>
      </w:r>
    </w:p>
    <w:p>
      <w:pPr>
        <w:pStyle w:val="ListBullet"/>
        <w:spacing w:after="60"/>
        <w:ind w:left="340"/>
      </w:pPr>
      <w:r>
        <w:rPr>
          <w:rFonts w:ascii="Calibri" w:hAnsi="Calibri"/>
          <w:sz w:val="22"/>
        </w:rPr>
        <w:t>RH : ETP médecins / lit, ETP paramédicaux / lit, taux d'absentéisme</w:t>
      </w:r>
    </w:p>
    <w:p>
      <w:pPr>
        <w:pStyle w:val="Heading3"/>
        <w:spacing w:before="180" w:after="120"/>
      </w:pPr>
      <w:r>
        <w:rPr>
          <w:rFonts w:ascii="Calibri" w:hAnsi="Calibri"/>
          <w:b/>
          <w:color w:val="0A2540"/>
          <w:sz w:val="26"/>
        </w:rPr>
        <w:t>Structure du template Santé</w:t>
      </w:r>
    </w:p>
    <w:p>
      <w:pPr>
        <w:spacing w:before="0" w:after="120"/>
        <w:jc w:val="both"/>
      </w:pPr>
      <w:r>
        <w:rPr>
          <w:rFonts w:ascii="Calibri" w:hAnsi="Calibri"/>
          <w:b w:val="0"/>
          <w:i w:val="0"/>
          <w:color w:val="000000"/>
          <w:sz w:val="22"/>
        </w:rPr>
        <w:t>Le template Santé comporte 13 feuilles : Notice, Hypothèses, Capacité (lits + blocs), Activité (séjours + casemix), Plateau technique, Tarification multi-payeurs, Recettes &amp; créances, RH médicale &amp; paramédicale, Charges directes (médicaments, consommables), CAPEX &amp; plateau, P&amp;L, BFR &amp; trésorerie, KPIs.</w:t>
      </w:r>
    </w:p>
    <w:p>
      <w:pPr>
        <w:pStyle w:val="Heading2"/>
        <w:spacing w:before="240" w:after="120"/>
      </w:pPr>
      <w:r>
        <w:rPr>
          <w:rFonts w:ascii="Calibri" w:hAnsi="Calibri"/>
          <w:b/>
          <w:color w:val="0A2540"/>
          <w:sz w:val="30"/>
        </w:rPr>
        <w:t>5.9 ONG et organisations à but non lucratif</w:t>
      </w:r>
    </w:p>
    <w:p>
      <w:pPr>
        <w:pStyle w:val="Heading3"/>
        <w:spacing w:before="180" w:after="120"/>
      </w:pPr>
      <w:r>
        <w:rPr>
          <w:rFonts w:ascii="Calibri" w:hAnsi="Calibri"/>
          <w:b/>
          <w:color w:val="0A2540"/>
          <w:sz w:val="26"/>
        </w:rPr>
        <w:t>Description du secteur</w:t>
      </w:r>
    </w:p>
    <w:p>
      <w:pPr>
        <w:spacing w:before="0" w:after="120"/>
        <w:jc w:val="both"/>
      </w:pPr>
      <w:r>
        <w:rPr>
          <w:rFonts w:ascii="Calibri" w:hAnsi="Calibri"/>
          <w:b w:val="0"/>
          <w:i w:val="0"/>
          <w:color w:val="000000"/>
          <w:sz w:val="22"/>
        </w:rPr>
        <w:t>Les ONG en zone UEMOA/CEMAC se répartissent entre filiales d'ONG internationales (Save the Children, Plan, CARE, MSF, Croix-Rouge), ONG locales structurées, organisations confessionnelles et réseaux. Leur modèle financier diffère radicalement d'une entreprise : les revenus sont quasi exclusivement issus de subventions et dons, structurés en projets (souvent restricted), avec des obligations de reporting très strictes vers les bailleurs (USAID, AFD, UE, ECHO, fondations privées).</w:t>
      </w:r>
    </w:p>
    <w:p>
      <w:pPr>
        <w:pStyle w:val="Heading3"/>
        <w:spacing w:before="180" w:after="120"/>
      </w:pPr>
      <w:r>
        <w:rPr>
          <w:rFonts w:ascii="Calibri" w:hAnsi="Calibri"/>
          <w:b/>
          <w:color w:val="0A2540"/>
          <w:sz w:val="26"/>
        </w:rPr>
        <w:t>Sous-secteurs et variantes</w:t>
      </w:r>
    </w:p>
    <w:tbl>
      <w:tblPr>
        <w:tblW w:type="auto" w:w="0"/>
        <w:jc w:val="center"/>
        <w:tblLayout w:type="fixed"/>
        <w:tblLook w:firstColumn="1" w:firstRow="1" w:lastColumn="0" w:lastRow="0" w:noHBand="0" w:noVBand="1" w:val="04A0"/>
      </w:tblPr>
      <w:tblGrid>
        <w:gridCol w:w="3135"/>
        <w:gridCol w:w="3135"/>
        <w:gridCol w:w="3135"/>
      </w:tblGrid>
      <w:tr>
        <w:tc>
          <w:tcPr>
            <w:tcW w:type="dxa" w:w="2835"/>
            <w:shd w:val="clear" w:color="auto" w:fill="0A2540"/>
            <w:tcBorders>
              <w:top w:val="single" w:sz="4" w:color="BFBFBF"/>
              <w:left w:val="single" w:sz="4" w:color="BFBFBF"/>
              <w:bottom w:val="single" w:sz="4" w:color="BFBFBF"/>
              <w:right w:val="single" w:sz="4" w:color="BFBFBF"/>
            </w:tcBorders>
            <w:vAlign w:val="center"/>
          </w:tcPr>
          <w:p>
            <w:pPr>
              <w:jc w:val="center"/>
            </w:pPr>
            <w:r>
              <w:rPr>
                <w:rFonts w:ascii="Calibri" w:hAnsi="Calibri"/>
                <w:b/>
                <w:color w:val="FFFFFF"/>
                <w:sz w:val="20"/>
              </w:rPr>
              <w:t>Sous-secteur</w:t>
            </w:r>
          </w:p>
        </w:tc>
        <w:tc>
          <w:tcPr>
            <w:tcW w:type="dxa" w:w="3118"/>
            <w:shd w:val="clear" w:color="auto" w:fill="0A2540"/>
            <w:tcBorders>
              <w:top w:val="single" w:sz="4" w:color="BFBFBF"/>
              <w:left w:val="single" w:sz="4" w:color="BFBFBF"/>
              <w:bottom w:val="single" w:sz="4" w:color="BFBFBF"/>
              <w:right w:val="single" w:sz="4" w:color="BFBFBF"/>
            </w:tcBorders>
            <w:vAlign w:val="center"/>
          </w:tcPr>
          <w:p>
            <w:pPr>
              <w:jc w:val="center"/>
            </w:pPr>
            <w:r>
              <w:rPr>
                <w:rFonts w:ascii="Calibri" w:hAnsi="Calibri"/>
                <w:b/>
                <w:color w:val="FFFFFF"/>
                <w:sz w:val="20"/>
              </w:rPr>
              <w:t>Caractéristiques</w:t>
            </w:r>
          </w:p>
        </w:tc>
        <w:tc>
          <w:tcPr>
            <w:tcW w:type="dxa" w:w="3118"/>
            <w:shd w:val="clear" w:color="auto" w:fill="0A2540"/>
            <w:tcBorders>
              <w:top w:val="single" w:sz="4" w:color="BFBFBF"/>
              <w:left w:val="single" w:sz="4" w:color="BFBFBF"/>
              <w:bottom w:val="single" w:sz="4" w:color="BFBFBF"/>
              <w:right w:val="single" w:sz="4" w:color="BFBFBF"/>
            </w:tcBorders>
            <w:vAlign w:val="center"/>
          </w:tcPr>
          <w:p>
            <w:pPr>
              <w:jc w:val="center"/>
            </w:pPr>
            <w:r>
              <w:rPr>
                <w:rFonts w:ascii="Calibri" w:hAnsi="Calibri"/>
                <w:b/>
                <w:color w:val="FFFFFF"/>
                <w:sz w:val="20"/>
              </w:rPr>
              <w:t>Modèle financier</w:t>
            </w:r>
          </w:p>
        </w:tc>
      </w:tr>
      <w:tr>
        <w:tc>
          <w:tcPr>
            <w:tcW w:type="dxa" w:w="2835"/>
            <w:tcBorders>
              <w:top w:val="single" w:sz="4" w:color="BFBFBF"/>
              <w:left w:val="single" w:sz="4" w:color="BFBFBF"/>
              <w:bottom w:val="single" w:sz="4" w:color="BFBFBF"/>
              <w:right w:val="single" w:sz="4" w:color="BFBFBF"/>
            </w:tcBorders>
            <w:vAlign w:val="center"/>
          </w:tcPr>
          <w:p>
            <w:r>
              <w:rPr>
                <w:rFonts w:ascii="Calibri" w:hAnsi="Calibri"/>
                <w:sz w:val="20"/>
              </w:rPr>
              <w:t>ONG internationale (filiale)</w:t>
            </w:r>
          </w:p>
        </w:tc>
        <w:tc>
          <w:tcPr>
            <w:tcW w:type="dxa" w:w="3118"/>
            <w:tcBorders>
              <w:top w:val="single" w:sz="4" w:color="BFBFBF"/>
              <w:left w:val="single" w:sz="4" w:color="BFBFBF"/>
              <w:bottom w:val="single" w:sz="4" w:color="BFBFBF"/>
              <w:right w:val="single" w:sz="4" w:color="BFBFBF"/>
            </w:tcBorders>
            <w:vAlign w:val="center"/>
          </w:tcPr>
          <w:p>
            <w:r>
              <w:rPr>
                <w:rFonts w:ascii="Calibri" w:hAnsi="Calibri"/>
                <w:sz w:val="20"/>
              </w:rPr>
              <w:t>Mandat global, gros bailleurs</w:t>
            </w:r>
          </w:p>
        </w:tc>
        <w:tc>
          <w:tcPr>
            <w:tcW w:type="dxa" w:w="3118"/>
            <w:tcBorders>
              <w:top w:val="single" w:sz="4" w:color="BFBFBF"/>
              <w:left w:val="single" w:sz="4" w:color="BFBFBF"/>
              <w:bottom w:val="single" w:sz="4" w:color="BFBFBF"/>
              <w:right w:val="single" w:sz="4" w:color="BFBFBF"/>
            </w:tcBorders>
            <w:vAlign w:val="center"/>
          </w:tcPr>
          <w:p>
            <w:r>
              <w:rPr>
                <w:rFonts w:ascii="Calibri" w:hAnsi="Calibri"/>
                <w:sz w:val="20"/>
              </w:rPr>
              <w:t>Multi-bailleurs, overhead consolidé groupe</w:t>
            </w:r>
          </w:p>
        </w:tc>
      </w:tr>
      <w:tr>
        <w:tc>
          <w:tcPr>
            <w:tcW w:type="dxa" w:w="2835"/>
            <w:shd w:val="clear" w:color="auto" w:fill="F2F2F2"/>
            <w:tcBorders>
              <w:top w:val="single" w:sz="4" w:color="BFBFBF"/>
              <w:left w:val="single" w:sz="4" w:color="BFBFBF"/>
              <w:bottom w:val="single" w:sz="4" w:color="BFBFBF"/>
              <w:right w:val="single" w:sz="4" w:color="BFBFBF"/>
            </w:tcBorders>
            <w:vAlign w:val="center"/>
          </w:tcPr>
          <w:p>
            <w:r>
              <w:rPr>
                <w:rFonts w:ascii="Calibri" w:hAnsi="Calibri"/>
                <w:sz w:val="20"/>
              </w:rPr>
              <w:t>ONG locale structurée</w:t>
            </w:r>
          </w:p>
        </w:tc>
        <w:tc>
          <w:tcPr>
            <w:tcW w:type="dxa" w:w="3118"/>
            <w:shd w:val="clear" w:color="auto" w:fill="F2F2F2"/>
            <w:tcBorders>
              <w:top w:val="single" w:sz="4" w:color="BFBFBF"/>
              <w:left w:val="single" w:sz="4" w:color="BFBFBF"/>
              <w:bottom w:val="single" w:sz="4" w:color="BFBFBF"/>
              <w:right w:val="single" w:sz="4" w:color="BFBFBF"/>
            </w:tcBorders>
            <w:vAlign w:val="center"/>
          </w:tcPr>
          <w:p>
            <w:r>
              <w:rPr>
                <w:rFonts w:ascii="Calibri" w:hAnsi="Calibri"/>
                <w:sz w:val="20"/>
              </w:rPr>
              <w:t>Mandat national, levée de fonds locale</w:t>
            </w:r>
          </w:p>
        </w:tc>
        <w:tc>
          <w:tcPr>
            <w:tcW w:type="dxa" w:w="3118"/>
            <w:shd w:val="clear" w:color="auto" w:fill="F2F2F2"/>
            <w:tcBorders>
              <w:top w:val="single" w:sz="4" w:color="BFBFBF"/>
              <w:left w:val="single" w:sz="4" w:color="BFBFBF"/>
              <w:bottom w:val="single" w:sz="4" w:color="BFBFBF"/>
              <w:right w:val="single" w:sz="4" w:color="BFBFBF"/>
            </w:tcBorders>
            <w:vAlign w:val="center"/>
          </w:tcPr>
          <w:p>
            <w:r>
              <w:rPr>
                <w:rFonts w:ascii="Calibri" w:hAnsi="Calibri"/>
                <w:sz w:val="20"/>
              </w:rPr>
              <w:t>Multi-bailleurs, capacité limitée</w:t>
            </w:r>
          </w:p>
        </w:tc>
      </w:tr>
      <w:tr>
        <w:tc>
          <w:tcPr>
            <w:tcW w:type="dxa" w:w="2835"/>
            <w:tcBorders>
              <w:top w:val="single" w:sz="4" w:color="BFBFBF"/>
              <w:left w:val="single" w:sz="4" w:color="BFBFBF"/>
              <w:bottom w:val="single" w:sz="4" w:color="BFBFBF"/>
              <w:right w:val="single" w:sz="4" w:color="BFBFBF"/>
            </w:tcBorders>
            <w:vAlign w:val="center"/>
          </w:tcPr>
          <w:p>
            <w:r>
              <w:rPr>
                <w:rFonts w:ascii="Calibri" w:hAnsi="Calibri"/>
                <w:sz w:val="20"/>
              </w:rPr>
              <w:t>ONG confessionnelle</w:t>
            </w:r>
          </w:p>
        </w:tc>
        <w:tc>
          <w:tcPr>
            <w:tcW w:type="dxa" w:w="3118"/>
            <w:tcBorders>
              <w:top w:val="single" w:sz="4" w:color="BFBFBF"/>
              <w:left w:val="single" w:sz="4" w:color="BFBFBF"/>
              <w:bottom w:val="single" w:sz="4" w:color="BFBFBF"/>
              <w:right w:val="single" w:sz="4" w:color="BFBFBF"/>
            </w:tcBorders>
            <w:vAlign w:val="center"/>
          </w:tcPr>
          <w:p>
            <w:r>
              <w:rPr>
                <w:rFonts w:ascii="Calibri" w:hAnsi="Calibri"/>
                <w:sz w:val="20"/>
              </w:rPr>
              <w:t>Mandat religieux + humanitaire</w:t>
            </w:r>
          </w:p>
        </w:tc>
        <w:tc>
          <w:tcPr>
            <w:tcW w:type="dxa" w:w="3118"/>
            <w:tcBorders>
              <w:top w:val="single" w:sz="4" w:color="BFBFBF"/>
              <w:left w:val="single" w:sz="4" w:color="BFBFBF"/>
              <w:bottom w:val="single" w:sz="4" w:color="BFBFBF"/>
              <w:right w:val="single" w:sz="4" w:color="BFBFBF"/>
            </w:tcBorders>
            <w:vAlign w:val="center"/>
          </w:tcPr>
          <w:p>
            <w:r>
              <w:rPr>
                <w:rFonts w:ascii="Calibri" w:hAnsi="Calibri"/>
                <w:sz w:val="20"/>
              </w:rPr>
              <w:t>Dons réseau + subventions</w:t>
            </w:r>
          </w:p>
        </w:tc>
      </w:tr>
      <w:tr>
        <w:tc>
          <w:tcPr>
            <w:tcW w:type="dxa" w:w="2835"/>
            <w:shd w:val="clear" w:color="auto" w:fill="F2F2F2"/>
            <w:tcBorders>
              <w:top w:val="single" w:sz="4" w:color="BFBFBF"/>
              <w:left w:val="single" w:sz="4" w:color="BFBFBF"/>
              <w:bottom w:val="single" w:sz="4" w:color="BFBFBF"/>
              <w:right w:val="single" w:sz="4" w:color="BFBFBF"/>
            </w:tcBorders>
            <w:vAlign w:val="center"/>
          </w:tcPr>
          <w:p>
            <w:r>
              <w:rPr>
                <w:rFonts w:ascii="Calibri" w:hAnsi="Calibri"/>
                <w:sz w:val="20"/>
              </w:rPr>
              <w:t>Réseau / fédération</w:t>
            </w:r>
          </w:p>
        </w:tc>
        <w:tc>
          <w:tcPr>
            <w:tcW w:type="dxa" w:w="3118"/>
            <w:shd w:val="clear" w:color="auto" w:fill="F2F2F2"/>
            <w:tcBorders>
              <w:top w:val="single" w:sz="4" w:color="BFBFBF"/>
              <w:left w:val="single" w:sz="4" w:color="BFBFBF"/>
              <w:bottom w:val="single" w:sz="4" w:color="BFBFBF"/>
              <w:right w:val="single" w:sz="4" w:color="BFBFBF"/>
            </w:tcBorders>
            <w:vAlign w:val="center"/>
          </w:tcPr>
          <w:p>
            <w:r>
              <w:rPr>
                <w:rFonts w:ascii="Calibri" w:hAnsi="Calibri"/>
                <w:sz w:val="20"/>
              </w:rPr>
              <w:t>Plateforme d'ONG</w:t>
            </w:r>
          </w:p>
        </w:tc>
        <w:tc>
          <w:tcPr>
            <w:tcW w:type="dxa" w:w="3118"/>
            <w:shd w:val="clear" w:color="auto" w:fill="F2F2F2"/>
            <w:tcBorders>
              <w:top w:val="single" w:sz="4" w:color="BFBFBF"/>
              <w:left w:val="single" w:sz="4" w:color="BFBFBF"/>
              <w:bottom w:val="single" w:sz="4" w:color="BFBFBF"/>
              <w:right w:val="single" w:sz="4" w:color="BFBFBF"/>
            </w:tcBorders>
            <w:vAlign w:val="center"/>
          </w:tcPr>
          <w:p>
            <w:r>
              <w:rPr>
                <w:rFonts w:ascii="Calibri" w:hAnsi="Calibri"/>
                <w:sz w:val="20"/>
              </w:rPr>
              <w:t>Cotisations + projets fédérés</w:t>
            </w:r>
          </w:p>
        </w:tc>
      </w:tr>
      <w:tr>
        <w:tc>
          <w:tcPr>
            <w:tcW w:type="dxa" w:w="2835"/>
            <w:tcBorders>
              <w:top w:val="single" w:sz="4" w:color="BFBFBF"/>
              <w:left w:val="single" w:sz="4" w:color="BFBFBF"/>
              <w:bottom w:val="single" w:sz="4" w:color="BFBFBF"/>
              <w:right w:val="single" w:sz="4" w:color="BFBFBF"/>
            </w:tcBorders>
            <w:vAlign w:val="center"/>
          </w:tcPr>
          <w:p>
            <w:r>
              <w:rPr>
                <w:rFonts w:ascii="Calibri" w:hAnsi="Calibri"/>
                <w:sz w:val="20"/>
              </w:rPr>
              <w:t>OBNL prestataire</w:t>
            </w:r>
          </w:p>
        </w:tc>
        <w:tc>
          <w:tcPr>
            <w:tcW w:type="dxa" w:w="3118"/>
            <w:tcBorders>
              <w:top w:val="single" w:sz="4" w:color="BFBFBF"/>
              <w:left w:val="single" w:sz="4" w:color="BFBFBF"/>
              <w:bottom w:val="single" w:sz="4" w:color="BFBFBF"/>
              <w:right w:val="single" w:sz="4" w:color="BFBFBF"/>
            </w:tcBorders>
            <w:vAlign w:val="center"/>
          </w:tcPr>
          <w:p>
            <w:r>
              <w:rPr>
                <w:rFonts w:ascii="Calibri" w:hAnsi="Calibri"/>
                <w:sz w:val="20"/>
              </w:rPr>
              <w:t>Services rémunérés (santé, éducation)</w:t>
            </w:r>
          </w:p>
        </w:tc>
        <w:tc>
          <w:tcPr>
            <w:tcW w:type="dxa" w:w="3118"/>
            <w:tcBorders>
              <w:top w:val="single" w:sz="4" w:color="BFBFBF"/>
              <w:left w:val="single" w:sz="4" w:color="BFBFBF"/>
              <w:bottom w:val="single" w:sz="4" w:color="BFBFBF"/>
              <w:right w:val="single" w:sz="4" w:color="BFBFBF"/>
            </w:tcBorders>
            <w:vAlign w:val="center"/>
          </w:tcPr>
          <w:p>
            <w:r>
              <w:rPr>
                <w:rFonts w:ascii="Calibri" w:hAnsi="Calibri"/>
                <w:sz w:val="20"/>
              </w:rPr>
              <w:t>Mix subventions + recettes propres</w:t>
            </w:r>
          </w:p>
        </w:tc>
      </w:tr>
    </w:tbl>
    <w:p>
      <w:pPr>
        <w:spacing w:after="120"/>
      </w:pPr>
    </w:p>
    <w:p>
      <w:pPr>
        <w:pStyle w:val="Heading3"/>
        <w:spacing w:before="180" w:after="120"/>
      </w:pPr>
      <w:r>
        <w:rPr>
          <w:rFonts w:ascii="Calibri" w:hAnsi="Calibri"/>
          <w:b/>
          <w:color w:val="0A2540"/>
          <w:sz w:val="26"/>
        </w:rPr>
        <w:t>Spécificités fiscales et réglementaires</w:t>
      </w:r>
    </w:p>
    <w:p>
      <w:pPr>
        <w:pStyle w:val="ListBullet"/>
        <w:spacing w:after="60"/>
        <w:ind w:left="340"/>
      </w:pPr>
      <w:r>
        <w:rPr>
          <w:rFonts w:ascii="Calibri" w:hAnsi="Calibri"/>
          <w:sz w:val="22"/>
        </w:rPr>
        <w:t>Régime fiscal des associations OHADA : exonération partielle d'IS sur les activités d'utilité publique reconnues</w:t>
      </w:r>
    </w:p>
    <w:p>
      <w:pPr>
        <w:pStyle w:val="ListBullet"/>
        <w:spacing w:after="60"/>
        <w:ind w:left="340"/>
      </w:pPr>
      <w:r>
        <w:rPr>
          <w:rFonts w:ascii="Calibri" w:hAnsi="Calibri"/>
          <w:sz w:val="22"/>
        </w:rPr>
        <w:t>Régime des dons : déductibilité partielle ou totale selon pays et statut (utilité publique)</w:t>
      </w:r>
    </w:p>
    <w:p>
      <w:pPr>
        <w:pStyle w:val="ListBullet"/>
        <w:spacing w:after="60"/>
        <w:ind w:left="340"/>
      </w:pPr>
      <w:r>
        <w:rPr>
          <w:rFonts w:ascii="Calibri" w:hAnsi="Calibri"/>
          <w:sz w:val="22"/>
        </w:rPr>
        <w:t>TVA sur achats : récupération possible sous conditions (selon convention bailleurs)</w:t>
      </w:r>
    </w:p>
    <w:p>
      <w:pPr>
        <w:pStyle w:val="ListBullet"/>
        <w:spacing w:after="60"/>
        <w:ind w:left="340"/>
      </w:pPr>
      <w:r>
        <w:rPr>
          <w:rFonts w:ascii="Calibri" w:hAnsi="Calibri"/>
          <w:sz w:val="22"/>
        </w:rPr>
        <w:t>Régime fiscal du personnel expatrié : conventions internationales, exonérations partielles</w:t>
      </w:r>
    </w:p>
    <w:p>
      <w:pPr>
        <w:pStyle w:val="ListBullet"/>
        <w:spacing w:after="60"/>
        <w:ind w:left="340"/>
      </w:pPr>
      <w:r>
        <w:rPr>
          <w:rFonts w:ascii="Calibri" w:hAnsi="Calibri"/>
          <w:sz w:val="22"/>
        </w:rPr>
        <w:t>Comptabilité publique pour les organismes recevant des fonds publics</w:t>
      </w:r>
    </w:p>
    <w:p>
      <w:pPr>
        <w:pStyle w:val="ListBullet"/>
        <w:spacing w:after="60"/>
        <w:ind w:left="340"/>
      </w:pPr>
      <w:r>
        <w:rPr>
          <w:rFonts w:ascii="Calibri" w:hAnsi="Calibri"/>
          <w:sz w:val="22"/>
        </w:rPr>
        <w:t>Obligations OHADA OBNL (Acte uniforme à venir, en cours de finalisation)</w:t>
      </w:r>
    </w:p>
    <w:p>
      <w:pPr>
        <w:pStyle w:val="ListBullet"/>
        <w:spacing w:after="60"/>
        <w:ind w:left="340"/>
      </w:pPr>
      <w:r>
        <w:rPr>
          <w:rFonts w:ascii="Calibri" w:hAnsi="Calibri"/>
          <w:sz w:val="22"/>
        </w:rPr>
        <w:t>Audit obligatoire au-delà de certains seuils (variable par pays et par bailleur)</w:t>
      </w:r>
    </w:p>
    <w:p>
      <w:pPr>
        <w:pStyle w:val="ListBullet"/>
        <w:spacing w:after="60"/>
        <w:ind w:left="340"/>
      </w:pPr>
      <w:r>
        <w:rPr>
          <w:rFonts w:ascii="Calibri" w:hAnsi="Calibri"/>
          <w:sz w:val="22"/>
        </w:rPr>
        <w:t>Obligations spécifiques bailleurs : reporting trimestriel/annuel, audit projet, KPI</w:t>
      </w:r>
    </w:p>
    <w:p>
      <w:pPr>
        <w:pStyle w:val="Heading3"/>
        <w:spacing w:before="180" w:after="120"/>
      </w:pPr>
      <w:r>
        <w:rPr>
          <w:rFonts w:ascii="Calibri" w:hAnsi="Calibri"/>
          <w:b/>
          <w:color w:val="0A2540"/>
          <w:sz w:val="26"/>
        </w:rPr>
        <w:t>Modèle de financement</w:t>
      </w:r>
    </w:p>
    <w:p>
      <w:pPr>
        <w:spacing w:before="0" w:after="120"/>
        <w:jc w:val="both"/>
      </w:pPr>
      <w:r>
        <w:rPr>
          <w:rFonts w:ascii="Calibri" w:hAnsi="Calibri"/>
          <w:b w:val="0"/>
          <w:i w:val="0"/>
          <w:color w:val="000000"/>
          <w:sz w:val="22"/>
        </w:rPr>
        <w:t>Le financement d'une ONG est structurellement différent d'une entreprise. Il s'organise autour de la distinction fondamentale restricted / unrestricted :</w:t>
      </w:r>
    </w:p>
    <w:tbl>
      <w:tblPr>
        <w:tblW w:type="auto" w:w="0"/>
        <w:jc w:val="center"/>
        <w:tblLayout w:type="fixed"/>
        <w:tblLook w:firstColumn="1" w:firstRow="1" w:lastColumn="0" w:lastRow="0" w:noHBand="0" w:noVBand="1" w:val="04A0"/>
      </w:tblPr>
      <w:tblGrid>
        <w:gridCol w:w="3135"/>
        <w:gridCol w:w="3135"/>
        <w:gridCol w:w="3135"/>
      </w:tblGrid>
      <w:tr>
        <w:tc>
          <w:tcPr>
            <w:tcW w:type="dxa" w:w="1984"/>
            <w:shd w:val="clear" w:color="auto" w:fill="0A2540"/>
            <w:tcBorders>
              <w:top w:val="single" w:sz="4" w:color="BFBFBF"/>
              <w:left w:val="single" w:sz="4" w:color="BFBFBF"/>
              <w:bottom w:val="single" w:sz="4" w:color="BFBFBF"/>
              <w:right w:val="single" w:sz="4" w:color="BFBFBF"/>
            </w:tcBorders>
            <w:vAlign w:val="center"/>
          </w:tcPr>
          <w:p>
            <w:pPr>
              <w:jc w:val="center"/>
            </w:pPr>
            <w:r>
              <w:rPr>
                <w:rFonts w:ascii="Calibri" w:hAnsi="Calibri"/>
                <w:b/>
                <w:color w:val="FFFFFF"/>
                <w:sz w:val="20"/>
              </w:rPr>
              <w:t>Type de fonds</w:t>
            </w:r>
          </w:p>
        </w:tc>
        <w:tc>
          <w:tcPr>
            <w:tcW w:type="dxa" w:w="3402"/>
            <w:shd w:val="clear" w:color="auto" w:fill="0A2540"/>
            <w:tcBorders>
              <w:top w:val="single" w:sz="4" w:color="BFBFBF"/>
              <w:left w:val="single" w:sz="4" w:color="BFBFBF"/>
              <w:bottom w:val="single" w:sz="4" w:color="BFBFBF"/>
              <w:right w:val="single" w:sz="4" w:color="BFBFBF"/>
            </w:tcBorders>
            <w:vAlign w:val="center"/>
          </w:tcPr>
          <w:p>
            <w:pPr>
              <w:jc w:val="center"/>
            </w:pPr>
            <w:r>
              <w:rPr>
                <w:rFonts w:ascii="Calibri" w:hAnsi="Calibri"/>
                <w:b/>
                <w:color w:val="FFFFFF"/>
                <w:sz w:val="20"/>
              </w:rPr>
              <w:t>Définition</w:t>
            </w:r>
          </w:p>
        </w:tc>
        <w:tc>
          <w:tcPr>
            <w:tcW w:type="dxa" w:w="3685"/>
            <w:shd w:val="clear" w:color="auto" w:fill="0A2540"/>
            <w:tcBorders>
              <w:top w:val="single" w:sz="4" w:color="BFBFBF"/>
              <w:left w:val="single" w:sz="4" w:color="BFBFBF"/>
              <w:bottom w:val="single" w:sz="4" w:color="BFBFBF"/>
              <w:right w:val="single" w:sz="4" w:color="BFBFBF"/>
            </w:tcBorders>
            <w:vAlign w:val="center"/>
          </w:tcPr>
          <w:p>
            <w:pPr>
              <w:jc w:val="center"/>
            </w:pPr>
            <w:r>
              <w:rPr>
                <w:rFonts w:ascii="Calibri" w:hAnsi="Calibri"/>
                <w:b/>
                <w:color w:val="FFFFFF"/>
                <w:sz w:val="20"/>
              </w:rPr>
              <w:t>Utilisation</w:t>
            </w:r>
          </w:p>
        </w:tc>
      </w:tr>
      <w:tr>
        <w:tc>
          <w:tcPr>
            <w:tcW w:type="dxa" w:w="1984"/>
            <w:tcBorders>
              <w:top w:val="single" w:sz="4" w:color="BFBFBF"/>
              <w:left w:val="single" w:sz="4" w:color="BFBFBF"/>
              <w:bottom w:val="single" w:sz="4" w:color="BFBFBF"/>
              <w:right w:val="single" w:sz="4" w:color="BFBFBF"/>
            </w:tcBorders>
            <w:vAlign w:val="center"/>
          </w:tcPr>
          <w:p>
            <w:r>
              <w:rPr>
                <w:rFonts w:ascii="Calibri" w:hAnsi="Calibri"/>
                <w:sz w:val="20"/>
              </w:rPr>
              <w:t>Restricted funds</w:t>
            </w:r>
          </w:p>
        </w:tc>
        <w:tc>
          <w:tcPr>
            <w:tcW w:type="dxa" w:w="3402"/>
            <w:tcBorders>
              <w:top w:val="single" w:sz="4" w:color="BFBFBF"/>
              <w:left w:val="single" w:sz="4" w:color="BFBFBF"/>
              <w:bottom w:val="single" w:sz="4" w:color="BFBFBF"/>
              <w:right w:val="single" w:sz="4" w:color="BFBFBF"/>
            </w:tcBorders>
            <w:vAlign w:val="center"/>
          </w:tcPr>
          <w:p>
            <w:r>
              <w:rPr>
                <w:rFonts w:ascii="Calibri" w:hAnsi="Calibri"/>
                <w:sz w:val="20"/>
              </w:rPr>
              <w:t>Fonds affectés à un projet précis par le bailleur</w:t>
            </w:r>
          </w:p>
        </w:tc>
        <w:tc>
          <w:tcPr>
            <w:tcW w:type="dxa" w:w="3685"/>
            <w:tcBorders>
              <w:top w:val="single" w:sz="4" w:color="BFBFBF"/>
              <w:left w:val="single" w:sz="4" w:color="BFBFBF"/>
              <w:bottom w:val="single" w:sz="4" w:color="BFBFBF"/>
              <w:right w:val="single" w:sz="4" w:color="BFBFBF"/>
            </w:tcBorders>
            <w:vAlign w:val="center"/>
          </w:tcPr>
          <w:p>
            <w:r>
              <w:rPr>
                <w:rFonts w:ascii="Calibri" w:hAnsi="Calibri"/>
                <w:sz w:val="20"/>
              </w:rPr>
              <w:t>Strictement contrôlée, reporting détaillé</w:t>
            </w:r>
          </w:p>
        </w:tc>
      </w:tr>
      <w:tr>
        <w:tc>
          <w:tcPr>
            <w:tcW w:type="dxa" w:w="1984"/>
            <w:shd w:val="clear" w:color="auto" w:fill="F2F2F2"/>
            <w:tcBorders>
              <w:top w:val="single" w:sz="4" w:color="BFBFBF"/>
              <w:left w:val="single" w:sz="4" w:color="BFBFBF"/>
              <w:bottom w:val="single" w:sz="4" w:color="BFBFBF"/>
              <w:right w:val="single" w:sz="4" w:color="BFBFBF"/>
            </w:tcBorders>
            <w:vAlign w:val="center"/>
          </w:tcPr>
          <w:p>
            <w:r>
              <w:rPr>
                <w:rFonts w:ascii="Calibri" w:hAnsi="Calibri"/>
                <w:sz w:val="20"/>
              </w:rPr>
              <w:t>Unrestricted funds</w:t>
            </w:r>
          </w:p>
        </w:tc>
        <w:tc>
          <w:tcPr>
            <w:tcW w:type="dxa" w:w="3402"/>
            <w:shd w:val="clear" w:color="auto" w:fill="F2F2F2"/>
            <w:tcBorders>
              <w:top w:val="single" w:sz="4" w:color="BFBFBF"/>
              <w:left w:val="single" w:sz="4" w:color="BFBFBF"/>
              <w:bottom w:val="single" w:sz="4" w:color="BFBFBF"/>
              <w:right w:val="single" w:sz="4" w:color="BFBFBF"/>
            </w:tcBorders>
            <w:vAlign w:val="center"/>
          </w:tcPr>
          <w:p>
            <w:r>
              <w:rPr>
                <w:rFonts w:ascii="Calibri" w:hAnsi="Calibri"/>
                <w:sz w:val="20"/>
              </w:rPr>
              <w:t>Fonds non affectés (libres d'emploi)</w:t>
            </w:r>
          </w:p>
        </w:tc>
        <w:tc>
          <w:tcPr>
            <w:tcW w:type="dxa" w:w="3685"/>
            <w:shd w:val="clear" w:color="auto" w:fill="F2F2F2"/>
            <w:tcBorders>
              <w:top w:val="single" w:sz="4" w:color="BFBFBF"/>
              <w:left w:val="single" w:sz="4" w:color="BFBFBF"/>
              <w:bottom w:val="single" w:sz="4" w:color="BFBFBF"/>
              <w:right w:val="single" w:sz="4" w:color="BFBFBF"/>
            </w:tcBorders>
            <w:vAlign w:val="center"/>
          </w:tcPr>
          <w:p>
            <w:r>
              <w:rPr>
                <w:rFonts w:ascii="Calibri" w:hAnsi="Calibri"/>
                <w:sz w:val="20"/>
              </w:rPr>
              <w:t>Frais de structure, projets nouveaux, réserves</w:t>
            </w:r>
          </w:p>
        </w:tc>
      </w:tr>
      <w:tr>
        <w:tc>
          <w:tcPr>
            <w:tcW w:type="dxa" w:w="1984"/>
            <w:tcBorders>
              <w:top w:val="single" w:sz="4" w:color="BFBFBF"/>
              <w:left w:val="single" w:sz="4" w:color="BFBFBF"/>
              <w:bottom w:val="single" w:sz="4" w:color="BFBFBF"/>
              <w:right w:val="single" w:sz="4" w:color="BFBFBF"/>
            </w:tcBorders>
            <w:vAlign w:val="center"/>
          </w:tcPr>
          <w:p>
            <w:r>
              <w:rPr>
                <w:rFonts w:ascii="Calibri" w:hAnsi="Calibri"/>
                <w:sz w:val="20"/>
              </w:rPr>
              <w:t>In-kind contributions</w:t>
            </w:r>
          </w:p>
        </w:tc>
        <w:tc>
          <w:tcPr>
            <w:tcW w:type="dxa" w:w="3402"/>
            <w:tcBorders>
              <w:top w:val="single" w:sz="4" w:color="BFBFBF"/>
              <w:left w:val="single" w:sz="4" w:color="BFBFBF"/>
              <w:bottom w:val="single" w:sz="4" w:color="BFBFBF"/>
              <w:right w:val="single" w:sz="4" w:color="BFBFBF"/>
            </w:tcBorders>
            <w:vAlign w:val="center"/>
          </w:tcPr>
          <w:p>
            <w:r>
              <w:rPr>
                <w:rFonts w:ascii="Calibri" w:hAnsi="Calibri"/>
                <w:sz w:val="20"/>
              </w:rPr>
              <w:t>Dons en nature (matériel, locaux, expertise)</w:t>
            </w:r>
          </w:p>
        </w:tc>
        <w:tc>
          <w:tcPr>
            <w:tcW w:type="dxa" w:w="3685"/>
            <w:tcBorders>
              <w:top w:val="single" w:sz="4" w:color="BFBFBF"/>
              <w:left w:val="single" w:sz="4" w:color="BFBFBF"/>
              <w:bottom w:val="single" w:sz="4" w:color="BFBFBF"/>
              <w:right w:val="single" w:sz="4" w:color="BFBFBF"/>
            </w:tcBorders>
            <w:vAlign w:val="center"/>
          </w:tcPr>
          <w:p>
            <w:r>
              <w:rPr>
                <w:rFonts w:ascii="Calibri" w:hAnsi="Calibri"/>
                <w:sz w:val="20"/>
              </w:rPr>
              <w:t>Valorisation comptable, mais pas de cash</w:t>
            </w:r>
          </w:p>
        </w:tc>
      </w:tr>
      <w:tr>
        <w:tc>
          <w:tcPr>
            <w:tcW w:type="dxa" w:w="1984"/>
            <w:shd w:val="clear" w:color="auto" w:fill="F2F2F2"/>
            <w:tcBorders>
              <w:top w:val="single" w:sz="4" w:color="BFBFBF"/>
              <w:left w:val="single" w:sz="4" w:color="BFBFBF"/>
              <w:bottom w:val="single" w:sz="4" w:color="BFBFBF"/>
              <w:right w:val="single" w:sz="4" w:color="BFBFBF"/>
            </w:tcBorders>
            <w:vAlign w:val="center"/>
          </w:tcPr>
          <w:p>
            <w:r>
              <w:rPr>
                <w:rFonts w:ascii="Calibri" w:hAnsi="Calibri"/>
                <w:sz w:val="20"/>
              </w:rPr>
              <w:t>Cost recovery (overhead)</w:t>
            </w:r>
          </w:p>
        </w:tc>
        <w:tc>
          <w:tcPr>
            <w:tcW w:type="dxa" w:w="3402"/>
            <w:shd w:val="clear" w:color="auto" w:fill="F2F2F2"/>
            <w:tcBorders>
              <w:top w:val="single" w:sz="4" w:color="BFBFBF"/>
              <w:left w:val="single" w:sz="4" w:color="BFBFBF"/>
              <w:bottom w:val="single" w:sz="4" w:color="BFBFBF"/>
              <w:right w:val="single" w:sz="4" w:color="BFBFBF"/>
            </w:tcBorders>
            <w:vAlign w:val="center"/>
          </w:tcPr>
          <w:p>
            <w:r>
              <w:rPr>
                <w:rFonts w:ascii="Calibri" w:hAnsi="Calibri"/>
                <w:sz w:val="20"/>
              </w:rPr>
              <w:t>% prélevé sur projets pour couvrir structure</w:t>
            </w:r>
          </w:p>
        </w:tc>
        <w:tc>
          <w:tcPr>
            <w:tcW w:type="dxa" w:w="3685"/>
            <w:shd w:val="clear" w:color="auto" w:fill="F2F2F2"/>
            <w:tcBorders>
              <w:top w:val="single" w:sz="4" w:color="BFBFBF"/>
              <w:left w:val="single" w:sz="4" w:color="BFBFBF"/>
              <w:bottom w:val="single" w:sz="4" w:color="BFBFBF"/>
              <w:right w:val="single" w:sz="4" w:color="BFBFBF"/>
            </w:tcBorders>
            <w:vAlign w:val="center"/>
          </w:tcPr>
          <w:p>
            <w:r>
              <w:rPr>
                <w:rFonts w:ascii="Calibri" w:hAnsi="Calibri"/>
                <w:sz w:val="20"/>
              </w:rPr>
              <w:t>Variable par bailleur (7-15% en moyenne)</w:t>
            </w:r>
          </w:p>
        </w:tc>
      </w:tr>
    </w:tbl>
    <w:p>
      <w:pPr>
        <w:spacing w:after="120"/>
      </w:pPr>
    </w:p>
    <w:p>
      <w:pPr>
        <w:pStyle w:val="Heading3"/>
        <w:spacing w:before="180" w:after="120"/>
      </w:pPr>
      <w:r>
        <w:rPr>
          <w:rFonts w:ascii="Calibri" w:hAnsi="Calibri"/>
          <w:b/>
          <w:color w:val="0A2540"/>
          <w:sz w:val="26"/>
        </w:rPr>
        <w:t>Hypothèses clés (intrants paramétrables)</w:t>
      </w:r>
    </w:p>
    <w:p>
      <w:pPr>
        <w:pStyle w:val="ListBullet"/>
        <w:spacing w:after="60"/>
        <w:ind w:left="340"/>
      </w:pPr>
      <w:r>
        <w:rPr>
          <w:rFonts w:ascii="Calibri" w:hAnsi="Calibri"/>
          <w:sz w:val="22"/>
        </w:rPr>
        <w:t>Pipeline bailleurs : appels à projets ciblés, taux de succès, taille moyenne des projets</w:t>
      </w:r>
    </w:p>
    <w:p>
      <w:pPr>
        <w:pStyle w:val="ListBullet"/>
        <w:spacing w:after="60"/>
        <w:ind w:left="340"/>
      </w:pPr>
      <w:r>
        <w:rPr>
          <w:rFonts w:ascii="Calibri" w:hAnsi="Calibri"/>
          <w:sz w:val="22"/>
        </w:rPr>
        <w:t>Portefeuille projets : projets actifs, valeur, durée, échéancier de décaissement bailleur</w:t>
      </w:r>
    </w:p>
    <w:p>
      <w:pPr>
        <w:pStyle w:val="ListBullet"/>
        <w:spacing w:after="60"/>
        <w:ind w:left="340"/>
      </w:pPr>
      <w:r>
        <w:rPr>
          <w:rFonts w:ascii="Calibri" w:hAnsi="Calibri"/>
          <w:sz w:val="22"/>
        </w:rPr>
        <w:t>Allocation : répartition par programme (santé, éducation, agriculture, droits humains, urgence)</w:t>
      </w:r>
    </w:p>
    <w:p>
      <w:pPr>
        <w:pStyle w:val="ListBullet"/>
        <w:spacing w:after="60"/>
        <w:ind w:left="340"/>
      </w:pPr>
      <w:r>
        <w:rPr>
          <w:rFonts w:ascii="Calibri" w:hAnsi="Calibri"/>
          <w:sz w:val="22"/>
        </w:rPr>
        <w:t>Overhead / cost recovery : taux par bailleur, taux moyen pondéré</w:t>
      </w:r>
    </w:p>
    <w:p>
      <w:pPr>
        <w:pStyle w:val="ListBullet"/>
        <w:spacing w:after="60"/>
        <w:ind w:left="340"/>
      </w:pPr>
      <w:r>
        <w:rPr>
          <w:rFonts w:ascii="Calibri" w:hAnsi="Calibri"/>
          <w:sz w:val="22"/>
        </w:rPr>
        <w:t>Coûts directs projets : RH terrain, matériel, déplacements, partenaires locaux</w:t>
      </w:r>
    </w:p>
    <w:p>
      <w:pPr>
        <w:pStyle w:val="ListBullet"/>
        <w:spacing w:after="60"/>
        <w:ind w:left="340"/>
      </w:pPr>
      <w:r>
        <w:rPr>
          <w:rFonts w:ascii="Calibri" w:hAnsi="Calibri"/>
          <w:sz w:val="22"/>
        </w:rPr>
        <w:t>Coûts indirects (structure HQ) : siège, finance, comm, IT, RH, fundraising</w:t>
      </w:r>
    </w:p>
    <w:p>
      <w:pPr>
        <w:pStyle w:val="ListBullet"/>
        <w:spacing w:after="60"/>
        <w:ind w:left="340"/>
      </w:pPr>
      <w:r>
        <w:rPr>
          <w:rFonts w:ascii="Calibri" w:hAnsi="Calibri"/>
          <w:sz w:val="22"/>
        </w:rPr>
        <w:t>RH : ETP internationaux (expat), nationaux (cadres + terrain), volontaires</w:t>
      </w:r>
    </w:p>
    <w:p>
      <w:pPr>
        <w:pStyle w:val="ListBullet"/>
        <w:spacing w:after="60"/>
        <w:ind w:left="340"/>
      </w:pPr>
      <w:r>
        <w:rPr>
          <w:rFonts w:ascii="Calibri" w:hAnsi="Calibri"/>
          <w:sz w:val="22"/>
        </w:rPr>
        <w:t>Trésorerie : avances bailleurs vs justifications, fonds propres requis pour pré-financement</w:t>
      </w:r>
    </w:p>
    <w:p>
      <w:pPr>
        <w:pStyle w:val="ListBullet"/>
        <w:spacing w:after="60"/>
        <w:ind w:left="340"/>
      </w:pPr>
      <w:r>
        <w:rPr>
          <w:rFonts w:ascii="Calibri" w:hAnsi="Calibri"/>
          <w:sz w:val="22"/>
        </w:rPr>
        <w:t>Réserves : fonds propres cibles (généralement 3-6 mois de fonctionnement)</w:t>
      </w:r>
    </w:p>
    <w:p>
      <w:pPr>
        <w:pStyle w:val="ListBullet"/>
        <w:spacing w:after="60"/>
        <w:ind w:left="340"/>
      </w:pPr>
      <w:r>
        <w:rPr>
          <w:rFonts w:ascii="Calibri" w:hAnsi="Calibri"/>
          <w:sz w:val="22"/>
        </w:rPr>
        <w:t>Audits : coûts audits projets, audit annuel, certifications (ECHO, USAID)</w:t>
      </w:r>
    </w:p>
    <w:p>
      <w:pPr>
        <w:pStyle w:val="Heading3"/>
        <w:spacing w:before="180" w:after="120"/>
      </w:pPr>
      <w:r>
        <w:rPr>
          <w:rFonts w:ascii="Calibri" w:hAnsi="Calibri"/>
          <w:b/>
          <w:color w:val="0A2540"/>
          <w:sz w:val="26"/>
        </w:rPr>
        <w:t>Règles de calcul critiques</w:t>
      </w:r>
    </w:p>
    <w:tbl>
      <w:tblPr>
        <w:tblW w:type="auto" w:w="0"/>
        <w:jc w:val="center"/>
        <w:tblLayout w:type="fixed"/>
        <w:tblLook w:firstColumn="1" w:firstRow="1" w:lastColumn="0" w:lastRow="0" w:noHBand="0" w:noVBand="1" w:val="04A0"/>
      </w:tblPr>
      <w:tblGrid>
        <w:gridCol w:w="3135"/>
        <w:gridCol w:w="3135"/>
        <w:gridCol w:w="3135"/>
      </w:tblGrid>
      <w:tr>
        <w:tc>
          <w:tcPr>
            <w:tcW w:type="dxa" w:w="2551"/>
            <w:shd w:val="clear" w:color="auto" w:fill="0A2540"/>
            <w:tcBorders>
              <w:top w:val="single" w:sz="4" w:color="BFBFBF"/>
              <w:left w:val="single" w:sz="4" w:color="BFBFBF"/>
              <w:bottom w:val="single" w:sz="4" w:color="BFBFBF"/>
              <w:right w:val="single" w:sz="4" w:color="BFBFBF"/>
            </w:tcBorders>
            <w:vAlign w:val="center"/>
          </w:tcPr>
          <w:p>
            <w:pPr>
              <w:jc w:val="center"/>
            </w:pPr>
            <w:r>
              <w:rPr>
                <w:rFonts w:ascii="Calibri" w:hAnsi="Calibri"/>
                <w:b/>
                <w:color w:val="FFFFFF"/>
                <w:sz w:val="20"/>
              </w:rPr>
              <w:t>Calcul</w:t>
            </w:r>
          </w:p>
        </w:tc>
        <w:tc>
          <w:tcPr>
            <w:tcW w:type="dxa" w:w="4252"/>
            <w:shd w:val="clear" w:color="auto" w:fill="0A2540"/>
            <w:tcBorders>
              <w:top w:val="single" w:sz="4" w:color="BFBFBF"/>
              <w:left w:val="single" w:sz="4" w:color="BFBFBF"/>
              <w:bottom w:val="single" w:sz="4" w:color="BFBFBF"/>
              <w:right w:val="single" w:sz="4" w:color="BFBFBF"/>
            </w:tcBorders>
            <w:vAlign w:val="center"/>
          </w:tcPr>
          <w:p>
            <w:pPr>
              <w:jc w:val="center"/>
            </w:pPr>
            <w:r>
              <w:rPr>
                <w:rFonts w:ascii="Calibri" w:hAnsi="Calibri"/>
                <w:b/>
                <w:color w:val="FFFFFF"/>
                <w:sz w:val="20"/>
              </w:rPr>
              <w:t>Formule type</w:t>
            </w:r>
          </w:p>
        </w:tc>
        <w:tc>
          <w:tcPr>
            <w:tcW w:type="dxa" w:w="2268"/>
            <w:shd w:val="clear" w:color="auto" w:fill="0A2540"/>
            <w:tcBorders>
              <w:top w:val="single" w:sz="4" w:color="BFBFBF"/>
              <w:left w:val="single" w:sz="4" w:color="BFBFBF"/>
              <w:bottom w:val="single" w:sz="4" w:color="BFBFBF"/>
              <w:right w:val="single" w:sz="4" w:color="BFBFBF"/>
            </w:tcBorders>
            <w:vAlign w:val="center"/>
          </w:tcPr>
          <w:p>
            <w:pPr>
              <w:jc w:val="center"/>
            </w:pPr>
            <w:r>
              <w:rPr>
                <w:rFonts w:ascii="Calibri" w:hAnsi="Calibri"/>
                <w:b/>
                <w:color w:val="FFFFFF"/>
                <w:sz w:val="20"/>
              </w:rPr>
              <w:t>Application</w:t>
            </w:r>
          </w:p>
        </w:tc>
      </w:tr>
      <w:tr>
        <w:tc>
          <w:tcPr>
            <w:tcW w:type="dxa" w:w="2551"/>
            <w:tcBorders>
              <w:top w:val="single" w:sz="4" w:color="BFBFBF"/>
              <w:left w:val="single" w:sz="4" w:color="BFBFBF"/>
              <w:bottom w:val="single" w:sz="4" w:color="BFBFBF"/>
              <w:right w:val="single" w:sz="4" w:color="BFBFBF"/>
            </w:tcBorders>
            <w:vAlign w:val="center"/>
          </w:tcPr>
          <w:p>
            <w:r>
              <w:rPr>
                <w:rFonts w:ascii="Calibri" w:hAnsi="Calibri"/>
                <w:sz w:val="20"/>
              </w:rPr>
              <w:t>Taux d'exécution projet</w:t>
            </w:r>
          </w:p>
        </w:tc>
        <w:tc>
          <w:tcPr>
            <w:tcW w:type="dxa" w:w="4252"/>
            <w:tcBorders>
              <w:top w:val="single" w:sz="4" w:color="BFBFBF"/>
              <w:left w:val="single" w:sz="4" w:color="BFBFBF"/>
              <w:bottom w:val="single" w:sz="4" w:color="BFBFBF"/>
              <w:right w:val="single" w:sz="4" w:color="BFBFBF"/>
            </w:tcBorders>
            <w:vAlign w:val="center"/>
          </w:tcPr>
          <w:p>
            <w:r>
              <w:rPr>
                <w:rFonts w:ascii="Calibri" w:hAnsi="Calibri"/>
                <w:sz w:val="20"/>
              </w:rPr>
              <w:t>Dépenses engagées / Budget projet</w:t>
            </w:r>
          </w:p>
        </w:tc>
        <w:tc>
          <w:tcPr>
            <w:tcW w:type="dxa" w:w="2268"/>
            <w:tcBorders>
              <w:top w:val="single" w:sz="4" w:color="BFBFBF"/>
              <w:left w:val="single" w:sz="4" w:color="BFBFBF"/>
              <w:bottom w:val="single" w:sz="4" w:color="BFBFBF"/>
              <w:right w:val="single" w:sz="4" w:color="BFBFBF"/>
            </w:tcBorders>
            <w:vAlign w:val="center"/>
          </w:tcPr>
          <w:p>
            <w:r>
              <w:rPr>
                <w:rFonts w:ascii="Calibri" w:hAnsi="Calibri"/>
                <w:sz w:val="20"/>
              </w:rPr>
              <w:t>Pilotage projet</w:t>
            </w:r>
          </w:p>
        </w:tc>
      </w:tr>
      <w:tr>
        <w:tc>
          <w:tcPr>
            <w:tcW w:type="dxa" w:w="2551"/>
            <w:shd w:val="clear" w:color="auto" w:fill="F2F2F2"/>
            <w:tcBorders>
              <w:top w:val="single" w:sz="4" w:color="BFBFBF"/>
              <w:left w:val="single" w:sz="4" w:color="BFBFBF"/>
              <w:bottom w:val="single" w:sz="4" w:color="BFBFBF"/>
              <w:right w:val="single" w:sz="4" w:color="BFBFBF"/>
            </w:tcBorders>
            <w:vAlign w:val="center"/>
          </w:tcPr>
          <w:p>
            <w:r>
              <w:rPr>
                <w:rFonts w:ascii="Calibri" w:hAnsi="Calibri"/>
                <w:sz w:val="20"/>
              </w:rPr>
              <w:t>Taux d'absorption (burn rate)</w:t>
            </w:r>
          </w:p>
        </w:tc>
        <w:tc>
          <w:tcPr>
            <w:tcW w:type="dxa" w:w="4252"/>
            <w:shd w:val="clear" w:color="auto" w:fill="F2F2F2"/>
            <w:tcBorders>
              <w:top w:val="single" w:sz="4" w:color="BFBFBF"/>
              <w:left w:val="single" w:sz="4" w:color="BFBFBF"/>
              <w:bottom w:val="single" w:sz="4" w:color="BFBFBF"/>
              <w:right w:val="single" w:sz="4" w:color="BFBFBF"/>
            </w:tcBorders>
            <w:vAlign w:val="center"/>
          </w:tcPr>
          <w:p>
            <w:r>
              <w:rPr>
                <w:rFonts w:ascii="Calibri" w:hAnsi="Calibri"/>
                <w:sz w:val="20"/>
              </w:rPr>
              <w:t>Décaissé / Reçu bailleur</w:t>
            </w:r>
          </w:p>
        </w:tc>
        <w:tc>
          <w:tcPr>
            <w:tcW w:type="dxa" w:w="2268"/>
            <w:shd w:val="clear" w:color="auto" w:fill="F2F2F2"/>
            <w:tcBorders>
              <w:top w:val="single" w:sz="4" w:color="BFBFBF"/>
              <w:left w:val="single" w:sz="4" w:color="BFBFBF"/>
              <w:bottom w:val="single" w:sz="4" w:color="BFBFBF"/>
              <w:right w:val="single" w:sz="4" w:color="BFBFBF"/>
            </w:tcBorders>
            <w:vAlign w:val="center"/>
          </w:tcPr>
          <w:p>
            <w:r>
              <w:rPr>
                <w:rFonts w:ascii="Calibri" w:hAnsi="Calibri"/>
                <w:sz w:val="20"/>
              </w:rPr>
              <w:t>Trésorerie projet</w:t>
            </w:r>
          </w:p>
        </w:tc>
      </w:tr>
      <w:tr>
        <w:tc>
          <w:tcPr>
            <w:tcW w:type="dxa" w:w="2551"/>
            <w:tcBorders>
              <w:top w:val="single" w:sz="4" w:color="BFBFBF"/>
              <w:left w:val="single" w:sz="4" w:color="BFBFBF"/>
              <w:bottom w:val="single" w:sz="4" w:color="BFBFBF"/>
              <w:right w:val="single" w:sz="4" w:color="BFBFBF"/>
            </w:tcBorders>
            <w:vAlign w:val="center"/>
          </w:tcPr>
          <w:p>
            <w:r>
              <w:rPr>
                <w:rFonts w:ascii="Calibri" w:hAnsi="Calibri"/>
                <w:sz w:val="20"/>
              </w:rPr>
              <w:t>Overhead ratio</w:t>
            </w:r>
          </w:p>
        </w:tc>
        <w:tc>
          <w:tcPr>
            <w:tcW w:type="dxa" w:w="4252"/>
            <w:tcBorders>
              <w:top w:val="single" w:sz="4" w:color="BFBFBF"/>
              <w:left w:val="single" w:sz="4" w:color="BFBFBF"/>
              <w:bottom w:val="single" w:sz="4" w:color="BFBFBF"/>
              <w:right w:val="single" w:sz="4" w:color="BFBFBF"/>
            </w:tcBorders>
            <w:vAlign w:val="center"/>
          </w:tcPr>
          <w:p>
            <w:r>
              <w:rPr>
                <w:rFonts w:ascii="Calibri" w:hAnsi="Calibri"/>
                <w:sz w:val="20"/>
              </w:rPr>
              <w:t>Coûts indirects / Coûts totaux</w:t>
            </w:r>
          </w:p>
        </w:tc>
        <w:tc>
          <w:tcPr>
            <w:tcW w:type="dxa" w:w="2268"/>
            <w:tcBorders>
              <w:top w:val="single" w:sz="4" w:color="BFBFBF"/>
              <w:left w:val="single" w:sz="4" w:color="BFBFBF"/>
              <w:bottom w:val="single" w:sz="4" w:color="BFBFBF"/>
              <w:right w:val="single" w:sz="4" w:color="BFBFBF"/>
            </w:tcBorders>
            <w:vAlign w:val="center"/>
          </w:tcPr>
          <w:p>
            <w:r>
              <w:rPr>
                <w:rFonts w:ascii="Calibri" w:hAnsi="Calibri"/>
                <w:sz w:val="20"/>
              </w:rPr>
              <w:t>&lt; 25% (recommandation)</w:t>
            </w:r>
          </w:p>
        </w:tc>
      </w:tr>
      <w:tr>
        <w:tc>
          <w:tcPr>
            <w:tcW w:type="dxa" w:w="2551"/>
            <w:shd w:val="clear" w:color="auto" w:fill="F2F2F2"/>
            <w:tcBorders>
              <w:top w:val="single" w:sz="4" w:color="BFBFBF"/>
              <w:left w:val="single" w:sz="4" w:color="BFBFBF"/>
              <w:bottom w:val="single" w:sz="4" w:color="BFBFBF"/>
              <w:right w:val="single" w:sz="4" w:color="BFBFBF"/>
            </w:tcBorders>
            <w:vAlign w:val="center"/>
          </w:tcPr>
          <w:p>
            <w:r>
              <w:rPr>
                <w:rFonts w:ascii="Calibri" w:hAnsi="Calibri"/>
                <w:sz w:val="20"/>
              </w:rPr>
              <w:t>Cost recovery ratio</w:t>
            </w:r>
          </w:p>
        </w:tc>
        <w:tc>
          <w:tcPr>
            <w:tcW w:type="dxa" w:w="4252"/>
            <w:shd w:val="clear" w:color="auto" w:fill="F2F2F2"/>
            <w:tcBorders>
              <w:top w:val="single" w:sz="4" w:color="BFBFBF"/>
              <w:left w:val="single" w:sz="4" w:color="BFBFBF"/>
              <w:bottom w:val="single" w:sz="4" w:color="BFBFBF"/>
              <w:right w:val="single" w:sz="4" w:color="BFBFBF"/>
            </w:tcBorders>
            <w:vAlign w:val="center"/>
          </w:tcPr>
          <w:p>
            <w:r>
              <w:rPr>
                <w:rFonts w:ascii="Calibri" w:hAnsi="Calibri"/>
                <w:sz w:val="20"/>
              </w:rPr>
              <w:t>Overhead facturé / Coûts indirects réels</w:t>
            </w:r>
          </w:p>
        </w:tc>
        <w:tc>
          <w:tcPr>
            <w:tcW w:type="dxa" w:w="2268"/>
            <w:shd w:val="clear" w:color="auto" w:fill="F2F2F2"/>
            <w:tcBorders>
              <w:top w:val="single" w:sz="4" w:color="BFBFBF"/>
              <w:left w:val="single" w:sz="4" w:color="BFBFBF"/>
              <w:bottom w:val="single" w:sz="4" w:color="BFBFBF"/>
              <w:right w:val="single" w:sz="4" w:color="BFBFBF"/>
            </w:tcBorders>
            <w:vAlign w:val="center"/>
          </w:tcPr>
          <w:p>
            <w:r>
              <w:rPr>
                <w:rFonts w:ascii="Calibri" w:hAnsi="Calibri"/>
                <w:sz w:val="20"/>
              </w:rPr>
              <w:t>Couverture structure</w:t>
            </w:r>
          </w:p>
        </w:tc>
      </w:tr>
      <w:tr>
        <w:tc>
          <w:tcPr>
            <w:tcW w:type="dxa" w:w="2551"/>
            <w:tcBorders>
              <w:top w:val="single" w:sz="4" w:color="BFBFBF"/>
              <w:left w:val="single" w:sz="4" w:color="BFBFBF"/>
              <w:bottom w:val="single" w:sz="4" w:color="BFBFBF"/>
              <w:right w:val="single" w:sz="4" w:color="BFBFBF"/>
            </w:tcBorders>
            <w:vAlign w:val="center"/>
          </w:tcPr>
          <w:p>
            <w:r>
              <w:rPr>
                <w:rFonts w:ascii="Calibri" w:hAnsi="Calibri"/>
                <w:sz w:val="20"/>
              </w:rPr>
              <w:t>Diversification bailleurs</w:t>
            </w:r>
          </w:p>
        </w:tc>
        <w:tc>
          <w:tcPr>
            <w:tcW w:type="dxa" w:w="4252"/>
            <w:tcBorders>
              <w:top w:val="single" w:sz="4" w:color="BFBFBF"/>
              <w:left w:val="single" w:sz="4" w:color="BFBFBF"/>
              <w:bottom w:val="single" w:sz="4" w:color="BFBFBF"/>
              <w:right w:val="single" w:sz="4" w:color="BFBFBF"/>
            </w:tcBorders>
            <w:vAlign w:val="center"/>
          </w:tcPr>
          <w:p>
            <w:r>
              <w:rPr>
                <w:rFonts w:ascii="Calibri" w:hAnsi="Calibri"/>
                <w:sz w:val="20"/>
              </w:rPr>
              <w:t>% du top 3 bailleurs / Total revenus</w:t>
            </w:r>
          </w:p>
        </w:tc>
        <w:tc>
          <w:tcPr>
            <w:tcW w:type="dxa" w:w="2268"/>
            <w:tcBorders>
              <w:top w:val="single" w:sz="4" w:color="BFBFBF"/>
              <w:left w:val="single" w:sz="4" w:color="BFBFBF"/>
              <w:bottom w:val="single" w:sz="4" w:color="BFBFBF"/>
              <w:right w:val="single" w:sz="4" w:color="BFBFBF"/>
            </w:tcBorders>
            <w:vAlign w:val="center"/>
          </w:tcPr>
          <w:p>
            <w:r>
              <w:rPr>
                <w:rFonts w:ascii="Calibri" w:hAnsi="Calibri"/>
                <w:sz w:val="20"/>
              </w:rPr>
              <w:t>&lt; 60% (résilience)</w:t>
            </w:r>
          </w:p>
        </w:tc>
      </w:tr>
      <w:tr>
        <w:tc>
          <w:tcPr>
            <w:tcW w:type="dxa" w:w="2551"/>
            <w:shd w:val="clear" w:color="auto" w:fill="F2F2F2"/>
            <w:tcBorders>
              <w:top w:val="single" w:sz="4" w:color="BFBFBF"/>
              <w:left w:val="single" w:sz="4" w:color="BFBFBF"/>
              <w:bottom w:val="single" w:sz="4" w:color="BFBFBF"/>
              <w:right w:val="single" w:sz="4" w:color="BFBFBF"/>
            </w:tcBorders>
            <w:vAlign w:val="center"/>
          </w:tcPr>
          <w:p>
            <w:r>
              <w:rPr>
                <w:rFonts w:ascii="Calibri" w:hAnsi="Calibri"/>
                <w:sz w:val="20"/>
              </w:rPr>
              <w:t>Réserves opérationnelles</w:t>
            </w:r>
          </w:p>
        </w:tc>
        <w:tc>
          <w:tcPr>
            <w:tcW w:type="dxa" w:w="4252"/>
            <w:shd w:val="clear" w:color="auto" w:fill="F2F2F2"/>
            <w:tcBorders>
              <w:top w:val="single" w:sz="4" w:color="BFBFBF"/>
              <w:left w:val="single" w:sz="4" w:color="BFBFBF"/>
              <w:bottom w:val="single" w:sz="4" w:color="BFBFBF"/>
              <w:right w:val="single" w:sz="4" w:color="BFBFBF"/>
            </w:tcBorders>
            <w:vAlign w:val="center"/>
          </w:tcPr>
          <w:p>
            <w:r>
              <w:rPr>
                <w:rFonts w:ascii="Calibri" w:hAnsi="Calibri"/>
                <w:sz w:val="20"/>
              </w:rPr>
              <w:t>Fonds libres / Coûts mensuels structure</w:t>
            </w:r>
          </w:p>
        </w:tc>
        <w:tc>
          <w:tcPr>
            <w:tcW w:type="dxa" w:w="2268"/>
            <w:shd w:val="clear" w:color="auto" w:fill="F2F2F2"/>
            <w:tcBorders>
              <w:top w:val="single" w:sz="4" w:color="BFBFBF"/>
              <w:left w:val="single" w:sz="4" w:color="BFBFBF"/>
              <w:bottom w:val="single" w:sz="4" w:color="BFBFBF"/>
              <w:right w:val="single" w:sz="4" w:color="BFBFBF"/>
            </w:tcBorders>
            <w:vAlign w:val="center"/>
          </w:tcPr>
          <w:p>
            <w:r>
              <w:rPr>
                <w:rFonts w:ascii="Calibri" w:hAnsi="Calibri"/>
                <w:sz w:val="20"/>
              </w:rPr>
              <w:t>≥ 3 mois (idéal 6)</w:t>
            </w:r>
          </w:p>
        </w:tc>
      </w:tr>
      <w:tr>
        <w:tc>
          <w:tcPr>
            <w:tcW w:type="dxa" w:w="2551"/>
            <w:tcBorders>
              <w:top w:val="single" w:sz="4" w:color="BFBFBF"/>
              <w:left w:val="single" w:sz="4" w:color="BFBFBF"/>
              <w:bottom w:val="single" w:sz="4" w:color="BFBFBF"/>
              <w:right w:val="single" w:sz="4" w:color="BFBFBF"/>
            </w:tcBorders>
            <w:vAlign w:val="center"/>
          </w:tcPr>
          <w:p>
            <w:r>
              <w:rPr>
                <w:rFonts w:ascii="Calibri" w:hAnsi="Calibri"/>
                <w:sz w:val="20"/>
              </w:rPr>
              <w:t>Taux de cofinancement</w:t>
            </w:r>
          </w:p>
        </w:tc>
        <w:tc>
          <w:tcPr>
            <w:tcW w:type="dxa" w:w="4252"/>
            <w:tcBorders>
              <w:top w:val="single" w:sz="4" w:color="BFBFBF"/>
              <w:left w:val="single" w:sz="4" w:color="BFBFBF"/>
              <w:bottom w:val="single" w:sz="4" w:color="BFBFBF"/>
              <w:right w:val="single" w:sz="4" w:color="BFBFBF"/>
            </w:tcBorders>
            <w:vAlign w:val="center"/>
          </w:tcPr>
          <w:p>
            <w:r>
              <w:rPr>
                <w:rFonts w:ascii="Calibri" w:hAnsi="Calibri"/>
                <w:sz w:val="20"/>
              </w:rPr>
              <w:t>Apport propre / Coût total projet</w:t>
            </w:r>
          </w:p>
        </w:tc>
        <w:tc>
          <w:tcPr>
            <w:tcW w:type="dxa" w:w="2268"/>
            <w:tcBorders>
              <w:top w:val="single" w:sz="4" w:color="BFBFBF"/>
              <w:left w:val="single" w:sz="4" w:color="BFBFBF"/>
              <w:bottom w:val="single" w:sz="4" w:color="BFBFBF"/>
              <w:right w:val="single" w:sz="4" w:color="BFBFBF"/>
            </w:tcBorders>
            <w:vAlign w:val="center"/>
          </w:tcPr>
          <w:p>
            <w:r>
              <w:rPr>
                <w:rFonts w:ascii="Calibri" w:hAnsi="Calibri"/>
                <w:sz w:val="20"/>
              </w:rPr>
              <w:t>Selon exigence bailleur</w:t>
            </w:r>
          </w:p>
        </w:tc>
      </w:tr>
    </w:tbl>
    <w:p>
      <w:pPr>
        <w:spacing w:after="120"/>
      </w:pPr>
    </w:p>
    <w:p>
      <w:pPr>
        <w:pStyle w:val="Heading3"/>
        <w:spacing w:before="180" w:after="120"/>
      </w:pPr>
      <w:r>
        <w:rPr>
          <w:rFonts w:ascii="Calibri" w:hAnsi="Calibri"/>
          <w:b/>
          <w:color w:val="0A2540"/>
          <w:sz w:val="26"/>
        </w:rPr>
        <w:t>KPIs et indicateurs sectoriels</w:t>
      </w:r>
    </w:p>
    <w:p>
      <w:pPr>
        <w:pStyle w:val="ListBullet"/>
        <w:spacing w:after="60"/>
        <w:ind w:left="340"/>
      </w:pPr>
      <w:r>
        <w:rPr>
          <w:rFonts w:ascii="Calibri" w:hAnsi="Calibri"/>
          <w:sz w:val="22"/>
        </w:rPr>
        <w:t>Activité : nombre de projets actifs, valeur totale du portefeuille, nb bénéficiaires touchés</w:t>
      </w:r>
    </w:p>
    <w:p>
      <w:pPr>
        <w:pStyle w:val="ListBullet"/>
        <w:spacing w:after="60"/>
        <w:ind w:left="340"/>
      </w:pPr>
      <w:r>
        <w:rPr>
          <w:rFonts w:ascii="Calibri" w:hAnsi="Calibri"/>
          <w:sz w:val="22"/>
        </w:rPr>
        <w:t>Financement : revenus totaux, diversification bailleurs, win-rate sur appels à projets</w:t>
      </w:r>
    </w:p>
    <w:p>
      <w:pPr>
        <w:pStyle w:val="ListBullet"/>
        <w:spacing w:after="60"/>
        <w:ind w:left="340"/>
      </w:pPr>
      <w:r>
        <w:rPr>
          <w:rFonts w:ascii="Calibri" w:hAnsi="Calibri"/>
          <w:sz w:val="22"/>
        </w:rPr>
        <w:t>Exécution : taux d'exécution moyen, taux d'absorption, projets en retard</w:t>
      </w:r>
    </w:p>
    <w:p>
      <w:pPr>
        <w:pStyle w:val="ListBullet"/>
        <w:spacing w:after="60"/>
        <w:ind w:left="340"/>
      </w:pPr>
      <w:r>
        <w:rPr>
          <w:rFonts w:ascii="Calibri" w:hAnsi="Calibri"/>
          <w:sz w:val="22"/>
        </w:rPr>
        <w:t>Efficience : overhead ratio, cost per beneficiary, coût administratif / coût total</w:t>
      </w:r>
    </w:p>
    <w:p>
      <w:pPr>
        <w:pStyle w:val="ListBullet"/>
        <w:spacing w:after="60"/>
        <w:ind w:left="340"/>
      </w:pPr>
      <w:r>
        <w:rPr>
          <w:rFonts w:ascii="Calibri" w:hAnsi="Calibri"/>
          <w:sz w:val="22"/>
        </w:rPr>
        <w:t>Trésorerie : réserves en mois, BFR pré-financement, FCF projet vs structure</w:t>
      </w:r>
    </w:p>
    <w:p>
      <w:pPr>
        <w:pStyle w:val="ListBullet"/>
        <w:spacing w:after="60"/>
        <w:ind w:left="340"/>
      </w:pPr>
      <w:r>
        <w:rPr>
          <w:rFonts w:ascii="Calibri" w:hAnsi="Calibri"/>
          <w:sz w:val="22"/>
        </w:rPr>
        <w:t>Qualité : audits sans réserve, conformité bailleurs, taux de renouvellement bailleurs</w:t>
      </w:r>
    </w:p>
    <w:p>
      <w:pPr>
        <w:pStyle w:val="ListBullet"/>
        <w:spacing w:after="60"/>
        <w:ind w:left="340"/>
      </w:pPr>
      <w:r>
        <w:rPr>
          <w:rFonts w:ascii="Calibri" w:hAnsi="Calibri"/>
          <w:sz w:val="22"/>
        </w:rPr>
        <w:t>Impact : indicateurs de résultat par programme (logframe theory of change)</w:t>
      </w:r>
    </w:p>
    <w:p>
      <w:pPr>
        <w:pStyle w:val="Heading3"/>
        <w:spacing w:before="180" w:after="120"/>
      </w:pPr>
      <w:r>
        <w:rPr>
          <w:rFonts w:ascii="Calibri" w:hAnsi="Calibri"/>
          <w:b/>
          <w:color w:val="0A2540"/>
          <w:sz w:val="26"/>
        </w:rPr>
        <w:t>Structure du template ONG</w:t>
      </w:r>
    </w:p>
    <w:p>
      <w:pPr>
        <w:spacing w:before="0" w:after="120"/>
        <w:jc w:val="both"/>
      </w:pPr>
      <w:r>
        <w:rPr>
          <w:rFonts w:ascii="Calibri" w:hAnsi="Calibri"/>
          <w:b w:val="0"/>
          <w:i w:val="0"/>
          <w:color w:val="000000"/>
          <w:sz w:val="22"/>
        </w:rPr>
        <w:t>Le template ONG comporte 13 feuilles : Notice, Hypothèses, Pipeline bailleurs, Portefeuille projets actifs, Budget projet type (matrice activités × lignes), Allocation directe/indirecte, Cost recovery &amp; overhead, RH (expat + nationaux + terrain), Charges de structure HQ, P&amp;L de l'association, Trésorerie &amp; avances bailleurs, Réserves &amp; fonds propres, KPIs &amp; reporting.</w:t>
      </w:r>
    </w:p>
    <w:p>
      <w:r>
        <w:br w:type="page"/>
      </w:r>
    </w:p>
    <w:p>
      <w:pPr>
        <w:pStyle w:val="Heading1"/>
        <w:spacing w:before="240" w:after="120"/>
      </w:pPr>
      <w:r>
        <w:rPr>
          <w:rFonts w:ascii="Calibri" w:hAnsi="Calibri"/>
          <w:b/>
          <w:color w:val="0A2540"/>
          <w:sz w:val="36"/>
        </w:rPr>
        <w:t>6. Architecture technique cible de l'outil</w:t>
      </w:r>
    </w:p>
    <w:p>
      <w:pPr>
        <w:pStyle w:val="Heading2"/>
        <w:spacing w:before="240" w:after="120"/>
      </w:pPr>
      <w:r>
        <w:rPr>
          <w:rFonts w:ascii="Calibri" w:hAnsi="Calibri"/>
          <w:b/>
          <w:color w:val="0A2540"/>
          <w:sz w:val="30"/>
        </w:rPr>
        <w:t>6.1 Vue d'ensemble de l'architecture</w:t>
      </w:r>
    </w:p>
    <w:p>
      <w:pPr>
        <w:spacing w:before="0" w:after="120"/>
        <w:jc w:val="both"/>
      </w:pPr>
      <w:r>
        <w:rPr>
          <w:rFonts w:ascii="Calibri" w:hAnsi="Calibri"/>
          <w:b w:val="0"/>
          <w:i w:val="0"/>
          <w:color w:val="000000"/>
          <w:sz w:val="22"/>
        </w:rPr>
        <w:t>L'outil est conçu comme une application web multi-tenant avec calcul côté serveur, interface client riche (single-page application) et possibilité d'export bidirectionnel avec Excel. L'architecture est modulaire avec une séparation claire entre les couches de présentation, d'orchestration, de calcul, de stockage et d'intégration.</w:t>
      </w:r>
    </w:p>
    <w:p>
      <w:pPr>
        <w:pStyle w:val="Heading2"/>
        <w:spacing w:before="240" w:after="120"/>
      </w:pPr>
      <w:r>
        <w:rPr>
          <w:rFonts w:ascii="Calibri" w:hAnsi="Calibri"/>
          <w:b/>
          <w:color w:val="0A2540"/>
          <w:sz w:val="30"/>
        </w:rPr>
        <w:t>6.2 Stack technique recommandée</w:t>
      </w:r>
    </w:p>
    <w:tbl>
      <w:tblPr>
        <w:tblW w:type="auto" w:w="0"/>
        <w:jc w:val="center"/>
        <w:tblLayout w:type="fixed"/>
        <w:tblLook w:firstColumn="1" w:firstRow="1" w:lastColumn="0" w:lastRow="0" w:noHBand="0" w:noVBand="1" w:val="04A0"/>
      </w:tblPr>
      <w:tblGrid>
        <w:gridCol w:w="2351"/>
        <w:gridCol w:w="2351"/>
        <w:gridCol w:w="2351"/>
        <w:gridCol w:w="2351"/>
      </w:tblGrid>
      <w:tr>
        <w:tc>
          <w:tcPr>
            <w:tcW w:type="dxa" w:w="1701"/>
            <w:shd w:val="clear" w:color="auto" w:fill="0A2540"/>
            <w:tcBorders>
              <w:top w:val="single" w:sz="4" w:color="BFBFBF"/>
              <w:left w:val="single" w:sz="4" w:color="BFBFBF"/>
              <w:bottom w:val="single" w:sz="4" w:color="BFBFBF"/>
              <w:right w:val="single" w:sz="4" w:color="BFBFBF"/>
            </w:tcBorders>
            <w:vAlign w:val="center"/>
          </w:tcPr>
          <w:p>
            <w:pPr>
              <w:jc w:val="center"/>
            </w:pPr>
            <w:r>
              <w:rPr>
                <w:rFonts w:ascii="Calibri" w:hAnsi="Calibri"/>
                <w:b/>
                <w:color w:val="FFFFFF"/>
                <w:sz w:val="20"/>
              </w:rPr>
              <w:t>Couche</w:t>
            </w:r>
          </w:p>
        </w:tc>
        <w:tc>
          <w:tcPr>
            <w:tcW w:type="dxa" w:w="2551"/>
            <w:shd w:val="clear" w:color="auto" w:fill="0A2540"/>
            <w:tcBorders>
              <w:top w:val="single" w:sz="4" w:color="BFBFBF"/>
              <w:left w:val="single" w:sz="4" w:color="BFBFBF"/>
              <w:bottom w:val="single" w:sz="4" w:color="BFBFBF"/>
              <w:right w:val="single" w:sz="4" w:color="BFBFBF"/>
            </w:tcBorders>
            <w:vAlign w:val="center"/>
          </w:tcPr>
          <w:p>
            <w:pPr>
              <w:jc w:val="center"/>
            </w:pPr>
            <w:r>
              <w:rPr>
                <w:rFonts w:ascii="Calibri" w:hAnsi="Calibri"/>
                <w:b/>
                <w:color w:val="FFFFFF"/>
                <w:sz w:val="20"/>
              </w:rPr>
              <w:t>Technologie recommandée</w:t>
            </w:r>
          </w:p>
        </w:tc>
        <w:tc>
          <w:tcPr>
            <w:tcW w:type="dxa" w:w="2268"/>
            <w:shd w:val="clear" w:color="auto" w:fill="0A2540"/>
            <w:tcBorders>
              <w:top w:val="single" w:sz="4" w:color="BFBFBF"/>
              <w:left w:val="single" w:sz="4" w:color="BFBFBF"/>
              <w:bottom w:val="single" w:sz="4" w:color="BFBFBF"/>
              <w:right w:val="single" w:sz="4" w:color="BFBFBF"/>
            </w:tcBorders>
            <w:vAlign w:val="center"/>
          </w:tcPr>
          <w:p>
            <w:pPr>
              <w:jc w:val="center"/>
            </w:pPr>
            <w:r>
              <w:rPr>
                <w:rFonts w:ascii="Calibri" w:hAnsi="Calibri"/>
                <w:b/>
                <w:color w:val="FFFFFF"/>
                <w:sz w:val="20"/>
              </w:rPr>
              <w:t>Alternative</w:t>
            </w:r>
          </w:p>
        </w:tc>
        <w:tc>
          <w:tcPr>
            <w:tcW w:type="dxa" w:w="2551"/>
            <w:shd w:val="clear" w:color="auto" w:fill="0A2540"/>
            <w:tcBorders>
              <w:top w:val="single" w:sz="4" w:color="BFBFBF"/>
              <w:left w:val="single" w:sz="4" w:color="BFBFBF"/>
              <w:bottom w:val="single" w:sz="4" w:color="BFBFBF"/>
              <w:right w:val="single" w:sz="4" w:color="BFBFBF"/>
            </w:tcBorders>
            <w:vAlign w:val="center"/>
          </w:tcPr>
          <w:p>
            <w:pPr>
              <w:jc w:val="center"/>
            </w:pPr>
            <w:r>
              <w:rPr>
                <w:rFonts w:ascii="Calibri" w:hAnsi="Calibri"/>
                <w:b/>
                <w:color w:val="FFFFFF"/>
                <w:sz w:val="20"/>
              </w:rPr>
              <w:t>Justification</w:t>
            </w:r>
          </w:p>
        </w:tc>
      </w:tr>
      <w:tr>
        <w:tc>
          <w:tcPr>
            <w:tcW w:type="dxa" w:w="1701"/>
            <w:tcBorders>
              <w:top w:val="single" w:sz="4" w:color="BFBFBF"/>
              <w:left w:val="single" w:sz="4" w:color="BFBFBF"/>
              <w:bottom w:val="single" w:sz="4" w:color="BFBFBF"/>
              <w:right w:val="single" w:sz="4" w:color="BFBFBF"/>
            </w:tcBorders>
            <w:vAlign w:val="center"/>
          </w:tcPr>
          <w:p>
            <w:r>
              <w:rPr>
                <w:rFonts w:ascii="Calibri" w:hAnsi="Calibri"/>
                <w:sz w:val="20"/>
              </w:rPr>
              <w:t>Frontend SPA</w:t>
            </w:r>
          </w:p>
        </w:tc>
        <w:tc>
          <w:tcPr>
            <w:tcW w:type="dxa" w:w="2551"/>
            <w:tcBorders>
              <w:top w:val="single" w:sz="4" w:color="BFBFBF"/>
              <w:left w:val="single" w:sz="4" w:color="BFBFBF"/>
              <w:bottom w:val="single" w:sz="4" w:color="BFBFBF"/>
              <w:right w:val="single" w:sz="4" w:color="BFBFBF"/>
            </w:tcBorders>
            <w:vAlign w:val="center"/>
          </w:tcPr>
          <w:p>
            <w:r>
              <w:rPr>
                <w:rFonts w:ascii="Calibri" w:hAnsi="Calibri"/>
                <w:sz w:val="20"/>
              </w:rPr>
              <w:t>React 18 + TypeScript</w:t>
            </w:r>
          </w:p>
        </w:tc>
        <w:tc>
          <w:tcPr>
            <w:tcW w:type="dxa" w:w="2268"/>
            <w:tcBorders>
              <w:top w:val="single" w:sz="4" w:color="BFBFBF"/>
              <w:left w:val="single" w:sz="4" w:color="BFBFBF"/>
              <w:bottom w:val="single" w:sz="4" w:color="BFBFBF"/>
              <w:right w:val="single" w:sz="4" w:color="BFBFBF"/>
            </w:tcBorders>
            <w:vAlign w:val="center"/>
          </w:tcPr>
          <w:p>
            <w:r>
              <w:rPr>
                <w:rFonts w:ascii="Calibri" w:hAnsi="Calibri"/>
                <w:sz w:val="20"/>
              </w:rPr>
              <w:t>Vue 3 + Pinia</w:t>
            </w:r>
          </w:p>
        </w:tc>
        <w:tc>
          <w:tcPr>
            <w:tcW w:type="dxa" w:w="2551"/>
            <w:tcBorders>
              <w:top w:val="single" w:sz="4" w:color="BFBFBF"/>
              <w:left w:val="single" w:sz="4" w:color="BFBFBF"/>
              <w:bottom w:val="single" w:sz="4" w:color="BFBFBF"/>
              <w:right w:val="single" w:sz="4" w:color="BFBFBF"/>
            </w:tcBorders>
            <w:vAlign w:val="center"/>
          </w:tcPr>
          <w:p>
            <w:r>
              <w:rPr>
                <w:rFonts w:ascii="Calibri" w:hAnsi="Calibri"/>
                <w:sz w:val="20"/>
              </w:rPr>
              <w:t>Maturité, écosystème, recrutement</w:t>
            </w:r>
          </w:p>
        </w:tc>
      </w:tr>
      <w:tr>
        <w:tc>
          <w:tcPr>
            <w:tcW w:type="dxa" w:w="1701"/>
            <w:shd w:val="clear" w:color="auto" w:fill="F2F2F2"/>
            <w:tcBorders>
              <w:top w:val="single" w:sz="4" w:color="BFBFBF"/>
              <w:left w:val="single" w:sz="4" w:color="BFBFBF"/>
              <w:bottom w:val="single" w:sz="4" w:color="BFBFBF"/>
              <w:right w:val="single" w:sz="4" w:color="BFBFBF"/>
            </w:tcBorders>
            <w:vAlign w:val="center"/>
          </w:tcPr>
          <w:p>
            <w:r>
              <w:rPr>
                <w:rFonts w:ascii="Calibri" w:hAnsi="Calibri"/>
                <w:sz w:val="20"/>
              </w:rPr>
              <w:t>UI library</w:t>
            </w:r>
          </w:p>
        </w:tc>
        <w:tc>
          <w:tcPr>
            <w:tcW w:type="dxa" w:w="2551"/>
            <w:shd w:val="clear" w:color="auto" w:fill="F2F2F2"/>
            <w:tcBorders>
              <w:top w:val="single" w:sz="4" w:color="BFBFBF"/>
              <w:left w:val="single" w:sz="4" w:color="BFBFBF"/>
              <w:bottom w:val="single" w:sz="4" w:color="BFBFBF"/>
              <w:right w:val="single" w:sz="4" w:color="BFBFBF"/>
            </w:tcBorders>
            <w:vAlign w:val="center"/>
          </w:tcPr>
          <w:p>
            <w:r>
              <w:rPr>
                <w:rFonts w:ascii="Calibri" w:hAnsi="Calibri"/>
                <w:sz w:val="20"/>
              </w:rPr>
              <w:t>shadcn/ui + Tailwind</w:t>
            </w:r>
          </w:p>
        </w:tc>
        <w:tc>
          <w:tcPr>
            <w:tcW w:type="dxa" w:w="2268"/>
            <w:shd w:val="clear" w:color="auto" w:fill="F2F2F2"/>
            <w:tcBorders>
              <w:top w:val="single" w:sz="4" w:color="BFBFBF"/>
              <w:left w:val="single" w:sz="4" w:color="BFBFBF"/>
              <w:bottom w:val="single" w:sz="4" w:color="BFBFBF"/>
              <w:right w:val="single" w:sz="4" w:color="BFBFBF"/>
            </w:tcBorders>
            <w:vAlign w:val="center"/>
          </w:tcPr>
          <w:p>
            <w:r>
              <w:rPr>
                <w:rFonts w:ascii="Calibri" w:hAnsi="Calibri"/>
                <w:sz w:val="20"/>
              </w:rPr>
              <w:t>Material-UI, Ant Design</w:t>
            </w:r>
          </w:p>
        </w:tc>
        <w:tc>
          <w:tcPr>
            <w:tcW w:type="dxa" w:w="2551"/>
            <w:shd w:val="clear" w:color="auto" w:fill="F2F2F2"/>
            <w:tcBorders>
              <w:top w:val="single" w:sz="4" w:color="BFBFBF"/>
              <w:left w:val="single" w:sz="4" w:color="BFBFBF"/>
              <w:bottom w:val="single" w:sz="4" w:color="BFBFBF"/>
              <w:right w:val="single" w:sz="4" w:color="BFBFBF"/>
            </w:tcBorders>
            <w:vAlign w:val="center"/>
          </w:tcPr>
          <w:p>
            <w:r>
              <w:rPr>
                <w:rFonts w:ascii="Calibri" w:hAnsi="Calibri"/>
                <w:sz w:val="20"/>
              </w:rPr>
              <w:t>Modernité, customisation</w:t>
            </w:r>
          </w:p>
        </w:tc>
      </w:tr>
      <w:tr>
        <w:tc>
          <w:tcPr>
            <w:tcW w:type="dxa" w:w="1701"/>
            <w:tcBorders>
              <w:top w:val="single" w:sz="4" w:color="BFBFBF"/>
              <w:left w:val="single" w:sz="4" w:color="BFBFBF"/>
              <w:bottom w:val="single" w:sz="4" w:color="BFBFBF"/>
              <w:right w:val="single" w:sz="4" w:color="BFBFBF"/>
            </w:tcBorders>
            <w:vAlign w:val="center"/>
          </w:tcPr>
          <w:p>
            <w:r>
              <w:rPr>
                <w:rFonts w:ascii="Calibri" w:hAnsi="Calibri"/>
                <w:sz w:val="20"/>
              </w:rPr>
              <w:t>Graphiques</w:t>
            </w:r>
          </w:p>
        </w:tc>
        <w:tc>
          <w:tcPr>
            <w:tcW w:type="dxa" w:w="2551"/>
            <w:tcBorders>
              <w:top w:val="single" w:sz="4" w:color="BFBFBF"/>
              <w:left w:val="single" w:sz="4" w:color="BFBFBF"/>
              <w:bottom w:val="single" w:sz="4" w:color="BFBFBF"/>
              <w:right w:val="single" w:sz="4" w:color="BFBFBF"/>
            </w:tcBorders>
            <w:vAlign w:val="center"/>
          </w:tcPr>
          <w:p>
            <w:r>
              <w:rPr>
                <w:rFonts w:ascii="Calibri" w:hAnsi="Calibri"/>
                <w:sz w:val="20"/>
              </w:rPr>
              <w:t>Recharts + Plotly</w:t>
            </w:r>
          </w:p>
        </w:tc>
        <w:tc>
          <w:tcPr>
            <w:tcW w:type="dxa" w:w="2268"/>
            <w:tcBorders>
              <w:top w:val="single" w:sz="4" w:color="BFBFBF"/>
              <w:left w:val="single" w:sz="4" w:color="BFBFBF"/>
              <w:bottom w:val="single" w:sz="4" w:color="BFBFBF"/>
              <w:right w:val="single" w:sz="4" w:color="BFBFBF"/>
            </w:tcBorders>
            <w:vAlign w:val="center"/>
          </w:tcPr>
          <w:p>
            <w:r>
              <w:rPr>
                <w:rFonts w:ascii="Calibri" w:hAnsi="Calibri"/>
                <w:sz w:val="20"/>
              </w:rPr>
              <w:t>Highcharts</w:t>
            </w:r>
          </w:p>
        </w:tc>
        <w:tc>
          <w:tcPr>
            <w:tcW w:type="dxa" w:w="2551"/>
            <w:tcBorders>
              <w:top w:val="single" w:sz="4" w:color="BFBFBF"/>
              <w:left w:val="single" w:sz="4" w:color="BFBFBF"/>
              <w:bottom w:val="single" w:sz="4" w:color="BFBFBF"/>
              <w:right w:val="single" w:sz="4" w:color="BFBFBF"/>
            </w:tcBorders>
            <w:vAlign w:val="center"/>
          </w:tcPr>
          <w:p>
            <w:r>
              <w:rPr>
                <w:rFonts w:ascii="Calibri" w:hAnsi="Calibri"/>
                <w:sz w:val="20"/>
              </w:rPr>
              <w:t>Open source, performance</w:t>
            </w:r>
          </w:p>
        </w:tc>
      </w:tr>
      <w:tr>
        <w:tc>
          <w:tcPr>
            <w:tcW w:type="dxa" w:w="1701"/>
            <w:shd w:val="clear" w:color="auto" w:fill="F2F2F2"/>
            <w:tcBorders>
              <w:top w:val="single" w:sz="4" w:color="BFBFBF"/>
              <w:left w:val="single" w:sz="4" w:color="BFBFBF"/>
              <w:bottom w:val="single" w:sz="4" w:color="BFBFBF"/>
              <w:right w:val="single" w:sz="4" w:color="BFBFBF"/>
            </w:tcBorders>
            <w:vAlign w:val="center"/>
          </w:tcPr>
          <w:p>
            <w:r>
              <w:rPr>
                <w:rFonts w:ascii="Calibri" w:hAnsi="Calibri"/>
                <w:sz w:val="20"/>
              </w:rPr>
              <w:t>Backend API</w:t>
            </w:r>
          </w:p>
        </w:tc>
        <w:tc>
          <w:tcPr>
            <w:tcW w:type="dxa" w:w="2551"/>
            <w:shd w:val="clear" w:color="auto" w:fill="F2F2F2"/>
            <w:tcBorders>
              <w:top w:val="single" w:sz="4" w:color="BFBFBF"/>
              <w:left w:val="single" w:sz="4" w:color="BFBFBF"/>
              <w:bottom w:val="single" w:sz="4" w:color="BFBFBF"/>
              <w:right w:val="single" w:sz="4" w:color="BFBFBF"/>
            </w:tcBorders>
            <w:vAlign w:val="center"/>
          </w:tcPr>
          <w:p>
            <w:r>
              <w:rPr>
                <w:rFonts w:ascii="Calibri" w:hAnsi="Calibri"/>
                <w:sz w:val="20"/>
              </w:rPr>
              <w:t>Python FastAPI</w:t>
            </w:r>
          </w:p>
        </w:tc>
        <w:tc>
          <w:tcPr>
            <w:tcW w:type="dxa" w:w="2268"/>
            <w:shd w:val="clear" w:color="auto" w:fill="F2F2F2"/>
            <w:tcBorders>
              <w:top w:val="single" w:sz="4" w:color="BFBFBF"/>
              <w:left w:val="single" w:sz="4" w:color="BFBFBF"/>
              <w:bottom w:val="single" w:sz="4" w:color="BFBFBF"/>
              <w:right w:val="single" w:sz="4" w:color="BFBFBF"/>
            </w:tcBorders>
            <w:vAlign w:val="center"/>
          </w:tcPr>
          <w:p>
            <w:r>
              <w:rPr>
                <w:rFonts w:ascii="Calibri" w:hAnsi="Calibri"/>
                <w:sz w:val="20"/>
              </w:rPr>
              <w:t>Node.js NestJS</w:t>
            </w:r>
          </w:p>
        </w:tc>
        <w:tc>
          <w:tcPr>
            <w:tcW w:type="dxa" w:w="2551"/>
            <w:shd w:val="clear" w:color="auto" w:fill="F2F2F2"/>
            <w:tcBorders>
              <w:top w:val="single" w:sz="4" w:color="BFBFBF"/>
              <w:left w:val="single" w:sz="4" w:color="BFBFBF"/>
              <w:bottom w:val="single" w:sz="4" w:color="BFBFBF"/>
              <w:right w:val="single" w:sz="4" w:color="BFBFBF"/>
            </w:tcBorders>
            <w:vAlign w:val="center"/>
          </w:tcPr>
          <w:p>
            <w:r>
              <w:rPr>
                <w:rFonts w:ascii="Calibri" w:hAnsi="Calibri"/>
                <w:sz w:val="20"/>
              </w:rPr>
              <w:t>Performance, écosystème data science</w:t>
            </w:r>
          </w:p>
        </w:tc>
      </w:tr>
      <w:tr>
        <w:tc>
          <w:tcPr>
            <w:tcW w:type="dxa" w:w="1701"/>
            <w:tcBorders>
              <w:top w:val="single" w:sz="4" w:color="BFBFBF"/>
              <w:left w:val="single" w:sz="4" w:color="BFBFBF"/>
              <w:bottom w:val="single" w:sz="4" w:color="BFBFBF"/>
              <w:right w:val="single" w:sz="4" w:color="BFBFBF"/>
            </w:tcBorders>
            <w:vAlign w:val="center"/>
          </w:tcPr>
          <w:p>
            <w:r>
              <w:rPr>
                <w:rFonts w:ascii="Calibri" w:hAnsi="Calibri"/>
                <w:sz w:val="20"/>
              </w:rPr>
              <w:t>Moteur de calcul</w:t>
            </w:r>
          </w:p>
        </w:tc>
        <w:tc>
          <w:tcPr>
            <w:tcW w:type="dxa" w:w="2551"/>
            <w:tcBorders>
              <w:top w:val="single" w:sz="4" w:color="BFBFBF"/>
              <w:left w:val="single" w:sz="4" w:color="BFBFBF"/>
              <w:bottom w:val="single" w:sz="4" w:color="BFBFBF"/>
              <w:right w:val="single" w:sz="4" w:color="BFBFBF"/>
            </w:tcBorders>
            <w:vAlign w:val="center"/>
          </w:tcPr>
          <w:p>
            <w:r>
              <w:rPr>
                <w:rFonts w:ascii="Calibri" w:hAnsi="Calibri"/>
                <w:sz w:val="20"/>
              </w:rPr>
              <w:t>Python (numpy/pandas) ou Rust</w:t>
            </w:r>
          </w:p>
        </w:tc>
        <w:tc>
          <w:tcPr>
            <w:tcW w:type="dxa" w:w="2268"/>
            <w:tcBorders>
              <w:top w:val="single" w:sz="4" w:color="BFBFBF"/>
              <w:left w:val="single" w:sz="4" w:color="BFBFBF"/>
              <w:bottom w:val="single" w:sz="4" w:color="BFBFBF"/>
              <w:right w:val="single" w:sz="4" w:color="BFBFBF"/>
            </w:tcBorders>
            <w:vAlign w:val="center"/>
          </w:tcPr>
          <w:p>
            <w:r>
              <w:rPr>
                <w:rFonts w:ascii="Calibri" w:hAnsi="Calibri"/>
                <w:sz w:val="20"/>
              </w:rPr>
              <w:t>Julia, C++</w:t>
            </w:r>
          </w:p>
        </w:tc>
        <w:tc>
          <w:tcPr>
            <w:tcW w:type="dxa" w:w="2551"/>
            <w:tcBorders>
              <w:top w:val="single" w:sz="4" w:color="BFBFBF"/>
              <w:left w:val="single" w:sz="4" w:color="BFBFBF"/>
              <w:bottom w:val="single" w:sz="4" w:color="BFBFBF"/>
              <w:right w:val="single" w:sz="4" w:color="BFBFBF"/>
            </w:tcBorders>
            <w:vAlign w:val="center"/>
          </w:tcPr>
          <w:p>
            <w:r>
              <w:rPr>
                <w:rFonts w:ascii="Calibri" w:hAnsi="Calibri"/>
                <w:sz w:val="20"/>
              </w:rPr>
              <w:t>Performance + maintenabilité</w:t>
            </w:r>
          </w:p>
        </w:tc>
      </w:tr>
      <w:tr>
        <w:tc>
          <w:tcPr>
            <w:tcW w:type="dxa" w:w="1701"/>
            <w:shd w:val="clear" w:color="auto" w:fill="F2F2F2"/>
            <w:tcBorders>
              <w:top w:val="single" w:sz="4" w:color="BFBFBF"/>
              <w:left w:val="single" w:sz="4" w:color="BFBFBF"/>
              <w:bottom w:val="single" w:sz="4" w:color="BFBFBF"/>
              <w:right w:val="single" w:sz="4" w:color="BFBFBF"/>
            </w:tcBorders>
            <w:vAlign w:val="center"/>
          </w:tcPr>
          <w:p>
            <w:r>
              <w:rPr>
                <w:rFonts w:ascii="Calibri" w:hAnsi="Calibri"/>
                <w:sz w:val="20"/>
              </w:rPr>
              <w:t>Base de données</w:t>
            </w:r>
          </w:p>
        </w:tc>
        <w:tc>
          <w:tcPr>
            <w:tcW w:type="dxa" w:w="2551"/>
            <w:shd w:val="clear" w:color="auto" w:fill="F2F2F2"/>
            <w:tcBorders>
              <w:top w:val="single" w:sz="4" w:color="BFBFBF"/>
              <w:left w:val="single" w:sz="4" w:color="BFBFBF"/>
              <w:bottom w:val="single" w:sz="4" w:color="BFBFBF"/>
              <w:right w:val="single" w:sz="4" w:color="BFBFBF"/>
            </w:tcBorders>
            <w:vAlign w:val="center"/>
          </w:tcPr>
          <w:p>
            <w:r>
              <w:rPr>
                <w:rFonts w:ascii="Calibri" w:hAnsi="Calibri"/>
                <w:sz w:val="20"/>
              </w:rPr>
              <w:t>PostgreSQL 16</w:t>
            </w:r>
          </w:p>
        </w:tc>
        <w:tc>
          <w:tcPr>
            <w:tcW w:type="dxa" w:w="2268"/>
            <w:shd w:val="clear" w:color="auto" w:fill="F2F2F2"/>
            <w:tcBorders>
              <w:top w:val="single" w:sz="4" w:color="BFBFBF"/>
              <w:left w:val="single" w:sz="4" w:color="BFBFBF"/>
              <w:bottom w:val="single" w:sz="4" w:color="BFBFBF"/>
              <w:right w:val="single" w:sz="4" w:color="BFBFBF"/>
            </w:tcBorders>
            <w:vAlign w:val="center"/>
          </w:tcPr>
          <w:p>
            <w:r>
              <w:rPr>
                <w:rFonts w:ascii="Calibri" w:hAnsi="Calibri"/>
                <w:sz w:val="20"/>
              </w:rPr>
              <w:t>MySQL 8</w:t>
            </w:r>
          </w:p>
        </w:tc>
        <w:tc>
          <w:tcPr>
            <w:tcW w:type="dxa" w:w="2551"/>
            <w:shd w:val="clear" w:color="auto" w:fill="F2F2F2"/>
            <w:tcBorders>
              <w:top w:val="single" w:sz="4" w:color="BFBFBF"/>
              <w:left w:val="single" w:sz="4" w:color="BFBFBF"/>
              <w:bottom w:val="single" w:sz="4" w:color="BFBFBF"/>
              <w:right w:val="single" w:sz="4" w:color="BFBFBF"/>
            </w:tcBorders>
            <w:vAlign w:val="center"/>
          </w:tcPr>
          <w:p>
            <w:r>
              <w:rPr>
                <w:rFonts w:ascii="Calibri" w:hAnsi="Calibri"/>
                <w:sz w:val="20"/>
              </w:rPr>
              <w:t>JSON natif, performance</w:t>
            </w:r>
          </w:p>
        </w:tc>
      </w:tr>
      <w:tr>
        <w:tc>
          <w:tcPr>
            <w:tcW w:type="dxa" w:w="1701"/>
            <w:tcBorders>
              <w:top w:val="single" w:sz="4" w:color="BFBFBF"/>
              <w:left w:val="single" w:sz="4" w:color="BFBFBF"/>
              <w:bottom w:val="single" w:sz="4" w:color="BFBFBF"/>
              <w:right w:val="single" w:sz="4" w:color="BFBFBF"/>
            </w:tcBorders>
            <w:vAlign w:val="center"/>
          </w:tcPr>
          <w:p>
            <w:r>
              <w:rPr>
                <w:rFonts w:ascii="Calibri" w:hAnsi="Calibri"/>
                <w:sz w:val="20"/>
              </w:rPr>
              <w:t>Cache</w:t>
            </w:r>
          </w:p>
        </w:tc>
        <w:tc>
          <w:tcPr>
            <w:tcW w:type="dxa" w:w="2551"/>
            <w:tcBorders>
              <w:top w:val="single" w:sz="4" w:color="BFBFBF"/>
              <w:left w:val="single" w:sz="4" w:color="BFBFBF"/>
              <w:bottom w:val="single" w:sz="4" w:color="BFBFBF"/>
              <w:right w:val="single" w:sz="4" w:color="BFBFBF"/>
            </w:tcBorders>
            <w:vAlign w:val="center"/>
          </w:tcPr>
          <w:p>
            <w:r>
              <w:rPr>
                <w:rFonts w:ascii="Calibri" w:hAnsi="Calibri"/>
                <w:sz w:val="20"/>
              </w:rPr>
              <w:t>Redis</w:t>
            </w:r>
          </w:p>
        </w:tc>
        <w:tc>
          <w:tcPr>
            <w:tcW w:type="dxa" w:w="2268"/>
            <w:tcBorders>
              <w:top w:val="single" w:sz="4" w:color="BFBFBF"/>
              <w:left w:val="single" w:sz="4" w:color="BFBFBF"/>
              <w:bottom w:val="single" w:sz="4" w:color="BFBFBF"/>
              <w:right w:val="single" w:sz="4" w:color="BFBFBF"/>
            </w:tcBorders>
            <w:vAlign w:val="center"/>
          </w:tcPr>
          <w:p>
            <w:r>
              <w:rPr>
                <w:rFonts w:ascii="Calibri" w:hAnsi="Calibri"/>
                <w:sz w:val="20"/>
              </w:rPr>
              <w:t>Memcached</w:t>
            </w:r>
          </w:p>
        </w:tc>
        <w:tc>
          <w:tcPr>
            <w:tcW w:type="dxa" w:w="2551"/>
            <w:tcBorders>
              <w:top w:val="single" w:sz="4" w:color="BFBFBF"/>
              <w:left w:val="single" w:sz="4" w:color="BFBFBF"/>
              <w:bottom w:val="single" w:sz="4" w:color="BFBFBF"/>
              <w:right w:val="single" w:sz="4" w:color="BFBFBF"/>
            </w:tcBorders>
            <w:vAlign w:val="center"/>
          </w:tcPr>
          <w:p>
            <w:r>
              <w:rPr>
                <w:rFonts w:ascii="Calibri" w:hAnsi="Calibri"/>
                <w:sz w:val="20"/>
              </w:rPr>
              <w:t>Sessions, calcul async</w:t>
            </w:r>
          </w:p>
        </w:tc>
      </w:tr>
      <w:tr>
        <w:tc>
          <w:tcPr>
            <w:tcW w:type="dxa" w:w="1701"/>
            <w:shd w:val="clear" w:color="auto" w:fill="F2F2F2"/>
            <w:tcBorders>
              <w:top w:val="single" w:sz="4" w:color="BFBFBF"/>
              <w:left w:val="single" w:sz="4" w:color="BFBFBF"/>
              <w:bottom w:val="single" w:sz="4" w:color="BFBFBF"/>
              <w:right w:val="single" w:sz="4" w:color="BFBFBF"/>
            </w:tcBorders>
            <w:vAlign w:val="center"/>
          </w:tcPr>
          <w:p>
            <w:r>
              <w:rPr>
                <w:rFonts w:ascii="Calibri" w:hAnsi="Calibri"/>
                <w:sz w:val="20"/>
              </w:rPr>
              <w:t>Files / Excel I/O</w:t>
            </w:r>
          </w:p>
        </w:tc>
        <w:tc>
          <w:tcPr>
            <w:tcW w:type="dxa" w:w="2551"/>
            <w:shd w:val="clear" w:color="auto" w:fill="F2F2F2"/>
            <w:tcBorders>
              <w:top w:val="single" w:sz="4" w:color="BFBFBF"/>
              <w:left w:val="single" w:sz="4" w:color="BFBFBF"/>
              <w:bottom w:val="single" w:sz="4" w:color="BFBFBF"/>
              <w:right w:val="single" w:sz="4" w:color="BFBFBF"/>
            </w:tcBorders>
            <w:vAlign w:val="center"/>
          </w:tcPr>
          <w:p>
            <w:r>
              <w:rPr>
                <w:rFonts w:ascii="Calibri" w:hAnsi="Calibri"/>
                <w:sz w:val="20"/>
              </w:rPr>
              <w:t>openpyxl, xlsxwriter</w:t>
            </w:r>
          </w:p>
        </w:tc>
        <w:tc>
          <w:tcPr>
            <w:tcW w:type="dxa" w:w="2268"/>
            <w:shd w:val="clear" w:color="auto" w:fill="F2F2F2"/>
            <w:tcBorders>
              <w:top w:val="single" w:sz="4" w:color="BFBFBF"/>
              <w:left w:val="single" w:sz="4" w:color="BFBFBF"/>
              <w:bottom w:val="single" w:sz="4" w:color="BFBFBF"/>
              <w:right w:val="single" w:sz="4" w:color="BFBFBF"/>
            </w:tcBorders>
            <w:vAlign w:val="center"/>
          </w:tcPr>
          <w:p>
            <w:r>
              <w:rPr>
                <w:rFonts w:ascii="Calibri" w:hAnsi="Calibri"/>
                <w:sz w:val="20"/>
              </w:rPr>
              <w:t>Apache POI</w:t>
            </w:r>
          </w:p>
        </w:tc>
        <w:tc>
          <w:tcPr>
            <w:tcW w:type="dxa" w:w="2551"/>
            <w:shd w:val="clear" w:color="auto" w:fill="F2F2F2"/>
            <w:tcBorders>
              <w:top w:val="single" w:sz="4" w:color="BFBFBF"/>
              <w:left w:val="single" w:sz="4" w:color="BFBFBF"/>
              <w:bottom w:val="single" w:sz="4" w:color="BFBFBF"/>
              <w:right w:val="single" w:sz="4" w:color="BFBFBF"/>
            </w:tcBorders>
            <w:vAlign w:val="center"/>
          </w:tcPr>
          <w:p>
            <w:r>
              <w:rPr>
                <w:rFonts w:ascii="Calibri" w:hAnsi="Calibri"/>
                <w:sz w:val="20"/>
              </w:rPr>
              <w:t>Standards Python</w:t>
            </w:r>
          </w:p>
        </w:tc>
      </w:tr>
      <w:tr>
        <w:tc>
          <w:tcPr>
            <w:tcW w:type="dxa" w:w="1701"/>
            <w:tcBorders>
              <w:top w:val="single" w:sz="4" w:color="BFBFBF"/>
              <w:left w:val="single" w:sz="4" w:color="BFBFBF"/>
              <w:bottom w:val="single" w:sz="4" w:color="BFBFBF"/>
              <w:right w:val="single" w:sz="4" w:color="BFBFBF"/>
            </w:tcBorders>
            <w:vAlign w:val="center"/>
          </w:tcPr>
          <w:p>
            <w:r>
              <w:rPr>
                <w:rFonts w:ascii="Calibri" w:hAnsi="Calibri"/>
                <w:sz w:val="20"/>
              </w:rPr>
              <w:t>Auth</w:t>
            </w:r>
          </w:p>
        </w:tc>
        <w:tc>
          <w:tcPr>
            <w:tcW w:type="dxa" w:w="2551"/>
            <w:tcBorders>
              <w:top w:val="single" w:sz="4" w:color="BFBFBF"/>
              <w:left w:val="single" w:sz="4" w:color="BFBFBF"/>
              <w:bottom w:val="single" w:sz="4" w:color="BFBFBF"/>
              <w:right w:val="single" w:sz="4" w:color="BFBFBF"/>
            </w:tcBorders>
            <w:vAlign w:val="center"/>
          </w:tcPr>
          <w:p>
            <w:r>
              <w:rPr>
                <w:rFonts w:ascii="Calibri" w:hAnsi="Calibri"/>
                <w:sz w:val="20"/>
              </w:rPr>
              <w:t>OAuth2 + JWT, Keycloak</w:t>
            </w:r>
          </w:p>
        </w:tc>
        <w:tc>
          <w:tcPr>
            <w:tcW w:type="dxa" w:w="2268"/>
            <w:tcBorders>
              <w:top w:val="single" w:sz="4" w:color="BFBFBF"/>
              <w:left w:val="single" w:sz="4" w:color="BFBFBF"/>
              <w:bottom w:val="single" w:sz="4" w:color="BFBFBF"/>
              <w:right w:val="single" w:sz="4" w:color="BFBFBF"/>
            </w:tcBorders>
            <w:vAlign w:val="center"/>
          </w:tcPr>
          <w:p>
            <w:r>
              <w:rPr>
                <w:rFonts w:ascii="Calibri" w:hAnsi="Calibri"/>
                <w:sz w:val="20"/>
              </w:rPr>
              <w:t>Auth0</w:t>
            </w:r>
          </w:p>
        </w:tc>
        <w:tc>
          <w:tcPr>
            <w:tcW w:type="dxa" w:w="2551"/>
            <w:tcBorders>
              <w:top w:val="single" w:sz="4" w:color="BFBFBF"/>
              <w:left w:val="single" w:sz="4" w:color="BFBFBF"/>
              <w:bottom w:val="single" w:sz="4" w:color="BFBFBF"/>
              <w:right w:val="single" w:sz="4" w:color="BFBFBF"/>
            </w:tcBorders>
            <w:vAlign w:val="center"/>
          </w:tcPr>
          <w:p>
            <w:r>
              <w:rPr>
                <w:rFonts w:ascii="Calibri" w:hAnsi="Calibri"/>
                <w:sz w:val="20"/>
              </w:rPr>
              <w:t>Standard, multi-tenant</w:t>
            </w:r>
          </w:p>
        </w:tc>
      </w:tr>
      <w:tr>
        <w:tc>
          <w:tcPr>
            <w:tcW w:type="dxa" w:w="1701"/>
            <w:shd w:val="clear" w:color="auto" w:fill="F2F2F2"/>
            <w:tcBorders>
              <w:top w:val="single" w:sz="4" w:color="BFBFBF"/>
              <w:left w:val="single" w:sz="4" w:color="BFBFBF"/>
              <w:bottom w:val="single" w:sz="4" w:color="BFBFBF"/>
              <w:right w:val="single" w:sz="4" w:color="BFBFBF"/>
            </w:tcBorders>
            <w:vAlign w:val="center"/>
          </w:tcPr>
          <w:p>
            <w:r>
              <w:rPr>
                <w:rFonts w:ascii="Calibri" w:hAnsi="Calibri"/>
                <w:sz w:val="20"/>
              </w:rPr>
              <w:t>Orchestration</w:t>
            </w:r>
          </w:p>
        </w:tc>
        <w:tc>
          <w:tcPr>
            <w:tcW w:type="dxa" w:w="2551"/>
            <w:shd w:val="clear" w:color="auto" w:fill="F2F2F2"/>
            <w:tcBorders>
              <w:top w:val="single" w:sz="4" w:color="BFBFBF"/>
              <w:left w:val="single" w:sz="4" w:color="BFBFBF"/>
              <w:bottom w:val="single" w:sz="4" w:color="BFBFBF"/>
              <w:right w:val="single" w:sz="4" w:color="BFBFBF"/>
            </w:tcBorders>
            <w:vAlign w:val="center"/>
          </w:tcPr>
          <w:p>
            <w:r>
              <w:rPr>
                <w:rFonts w:ascii="Calibri" w:hAnsi="Calibri"/>
                <w:sz w:val="20"/>
              </w:rPr>
              <w:t>Docker + Kubernetes</w:t>
            </w:r>
          </w:p>
        </w:tc>
        <w:tc>
          <w:tcPr>
            <w:tcW w:type="dxa" w:w="2268"/>
            <w:shd w:val="clear" w:color="auto" w:fill="F2F2F2"/>
            <w:tcBorders>
              <w:top w:val="single" w:sz="4" w:color="BFBFBF"/>
              <w:left w:val="single" w:sz="4" w:color="BFBFBF"/>
              <w:bottom w:val="single" w:sz="4" w:color="BFBFBF"/>
              <w:right w:val="single" w:sz="4" w:color="BFBFBF"/>
            </w:tcBorders>
            <w:vAlign w:val="center"/>
          </w:tcPr>
          <w:p>
            <w:r>
              <w:rPr>
                <w:rFonts w:ascii="Calibri" w:hAnsi="Calibri"/>
                <w:sz w:val="20"/>
              </w:rPr>
              <w:t>Docker Compose (MVP)</w:t>
            </w:r>
          </w:p>
        </w:tc>
        <w:tc>
          <w:tcPr>
            <w:tcW w:type="dxa" w:w="2551"/>
            <w:shd w:val="clear" w:color="auto" w:fill="F2F2F2"/>
            <w:tcBorders>
              <w:top w:val="single" w:sz="4" w:color="BFBFBF"/>
              <w:left w:val="single" w:sz="4" w:color="BFBFBF"/>
              <w:bottom w:val="single" w:sz="4" w:color="BFBFBF"/>
              <w:right w:val="single" w:sz="4" w:color="BFBFBF"/>
            </w:tcBorders>
            <w:vAlign w:val="center"/>
          </w:tcPr>
          <w:p>
            <w:r>
              <w:rPr>
                <w:rFonts w:ascii="Calibri" w:hAnsi="Calibri"/>
                <w:sz w:val="20"/>
              </w:rPr>
              <w:t>Scalabilité multi-tenant</w:t>
            </w:r>
          </w:p>
        </w:tc>
      </w:tr>
      <w:tr>
        <w:tc>
          <w:tcPr>
            <w:tcW w:type="dxa" w:w="1701"/>
            <w:tcBorders>
              <w:top w:val="single" w:sz="4" w:color="BFBFBF"/>
              <w:left w:val="single" w:sz="4" w:color="BFBFBF"/>
              <w:bottom w:val="single" w:sz="4" w:color="BFBFBF"/>
              <w:right w:val="single" w:sz="4" w:color="BFBFBF"/>
            </w:tcBorders>
            <w:vAlign w:val="center"/>
          </w:tcPr>
          <w:p>
            <w:r>
              <w:rPr>
                <w:rFonts w:ascii="Calibri" w:hAnsi="Calibri"/>
                <w:sz w:val="20"/>
              </w:rPr>
              <w:t>Observabilité</w:t>
            </w:r>
          </w:p>
        </w:tc>
        <w:tc>
          <w:tcPr>
            <w:tcW w:type="dxa" w:w="2551"/>
            <w:tcBorders>
              <w:top w:val="single" w:sz="4" w:color="BFBFBF"/>
              <w:left w:val="single" w:sz="4" w:color="BFBFBF"/>
              <w:bottom w:val="single" w:sz="4" w:color="BFBFBF"/>
              <w:right w:val="single" w:sz="4" w:color="BFBFBF"/>
            </w:tcBorders>
            <w:vAlign w:val="center"/>
          </w:tcPr>
          <w:p>
            <w:r>
              <w:rPr>
                <w:rFonts w:ascii="Calibri" w:hAnsi="Calibri"/>
                <w:sz w:val="20"/>
              </w:rPr>
              <w:t>Prometheus + Grafana + Sentry</w:t>
            </w:r>
          </w:p>
        </w:tc>
        <w:tc>
          <w:tcPr>
            <w:tcW w:type="dxa" w:w="2268"/>
            <w:tcBorders>
              <w:top w:val="single" w:sz="4" w:color="BFBFBF"/>
              <w:left w:val="single" w:sz="4" w:color="BFBFBF"/>
              <w:bottom w:val="single" w:sz="4" w:color="BFBFBF"/>
              <w:right w:val="single" w:sz="4" w:color="BFBFBF"/>
            </w:tcBorders>
            <w:vAlign w:val="center"/>
          </w:tcPr>
          <w:p>
            <w:r>
              <w:rPr>
                <w:rFonts w:ascii="Calibri" w:hAnsi="Calibri"/>
                <w:sz w:val="20"/>
              </w:rPr>
              <w:t>Datadog</w:t>
            </w:r>
          </w:p>
        </w:tc>
        <w:tc>
          <w:tcPr>
            <w:tcW w:type="dxa" w:w="2551"/>
            <w:tcBorders>
              <w:top w:val="single" w:sz="4" w:color="BFBFBF"/>
              <w:left w:val="single" w:sz="4" w:color="BFBFBF"/>
              <w:bottom w:val="single" w:sz="4" w:color="BFBFBF"/>
              <w:right w:val="single" w:sz="4" w:color="BFBFBF"/>
            </w:tcBorders>
            <w:vAlign w:val="center"/>
          </w:tcPr>
          <w:p>
            <w:r>
              <w:rPr>
                <w:rFonts w:ascii="Calibri" w:hAnsi="Calibri"/>
                <w:sz w:val="20"/>
              </w:rPr>
              <w:t>Open source</w:t>
            </w:r>
          </w:p>
        </w:tc>
      </w:tr>
      <w:tr>
        <w:tc>
          <w:tcPr>
            <w:tcW w:type="dxa" w:w="1701"/>
            <w:shd w:val="clear" w:color="auto" w:fill="F2F2F2"/>
            <w:tcBorders>
              <w:top w:val="single" w:sz="4" w:color="BFBFBF"/>
              <w:left w:val="single" w:sz="4" w:color="BFBFBF"/>
              <w:bottom w:val="single" w:sz="4" w:color="BFBFBF"/>
              <w:right w:val="single" w:sz="4" w:color="BFBFBF"/>
            </w:tcBorders>
            <w:vAlign w:val="center"/>
          </w:tcPr>
          <w:p>
            <w:r>
              <w:rPr>
                <w:rFonts w:ascii="Calibri" w:hAnsi="Calibri"/>
                <w:sz w:val="20"/>
              </w:rPr>
              <w:t>CI/CD</w:t>
            </w:r>
          </w:p>
        </w:tc>
        <w:tc>
          <w:tcPr>
            <w:tcW w:type="dxa" w:w="2551"/>
            <w:shd w:val="clear" w:color="auto" w:fill="F2F2F2"/>
            <w:tcBorders>
              <w:top w:val="single" w:sz="4" w:color="BFBFBF"/>
              <w:left w:val="single" w:sz="4" w:color="BFBFBF"/>
              <w:bottom w:val="single" w:sz="4" w:color="BFBFBF"/>
              <w:right w:val="single" w:sz="4" w:color="BFBFBF"/>
            </w:tcBorders>
            <w:vAlign w:val="center"/>
          </w:tcPr>
          <w:p>
            <w:r>
              <w:rPr>
                <w:rFonts w:ascii="Calibri" w:hAnsi="Calibri"/>
                <w:sz w:val="20"/>
              </w:rPr>
              <w:t>GitHub Actions / GitLab CI</w:t>
            </w:r>
          </w:p>
        </w:tc>
        <w:tc>
          <w:tcPr>
            <w:tcW w:type="dxa" w:w="2268"/>
            <w:shd w:val="clear" w:color="auto" w:fill="F2F2F2"/>
            <w:tcBorders>
              <w:top w:val="single" w:sz="4" w:color="BFBFBF"/>
              <w:left w:val="single" w:sz="4" w:color="BFBFBF"/>
              <w:bottom w:val="single" w:sz="4" w:color="BFBFBF"/>
              <w:right w:val="single" w:sz="4" w:color="BFBFBF"/>
            </w:tcBorders>
            <w:vAlign w:val="center"/>
          </w:tcPr>
          <w:p>
            <w:r>
              <w:rPr>
                <w:rFonts w:ascii="Calibri" w:hAnsi="Calibri"/>
                <w:sz w:val="20"/>
              </w:rPr>
              <w:t>Jenkins</w:t>
            </w:r>
          </w:p>
        </w:tc>
        <w:tc>
          <w:tcPr>
            <w:tcW w:type="dxa" w:w="2551"/>
            <w:shd w:val="clear" w:color="auto" w:fill="F2F2F2"/>
            <w:tcBorders>
              <w:top w:val="single" w:sz="4" w:color="BFBFBF"/>
              <w:left w:val="single" w:sz="4" w:color="BFBFBF"/>
              <w:bottom w:val="single" w:sz="4" w:color="BFBFBF"/>
              <w:right w:val="single" w:sz="4" w:color="BFBFBF"/>
            </w:tcBorders>
            <w:vAlign w:val="center"/>
          </w:tcPr>
          <w:p>
            <w:r>
              <w:rPr>
                <w:rFonts w:ascii="Calibri" w:hAnsi="Calibri"/>
                <w:sz w:val="20"/>
              </w:rPr>
              <w:t>Cloud-native</w:t>
            </w:r>
          </w:p>
        </w:tc>
      </w:tr>
    </w:tbl>
    <w:p>
      <w:pPr>
        <w:spacing w:after="120"/>
      </w:pPr>
    </w:p>
    <w:p>
      <w:pPr>
        <w:pStyle w:val="Heading2"/>
        <w:spacing w:before="240" w:after="120"/>
      </w:pPr>
      <w:r>
        <w:rPr>
          <w:rFonts w:ascii="Calibri" w:hAnsi="Calibri"/>
          <w:b/>
          <w:color w:val="0A2540"/>
          <w:sz w:val="30"/>
        </w:rPr>
        <w:t>6.3 Modèle de données (vue logique)</w:t>
      </w:r>
    </w:p>
    <w:p>
      <w:pPr>
        <w:spacing w:before="0" w:after="120"/>
        <w:jc w:val="both"/>
      </w:pPr>
      <w:r>
        <w:rPr>
          <w:rFonts w:ascii="Calibri" w:hAnsi="Calibri"/>
          <w:b w:val="0"/>
          <w:i w:val="0"/>
          <w:color w:val="000000"/>
          <w:sz w:val="22"/>
        </w:rPr>
        <w:t>Le schéma de données simplifié s'articule autour de huit tables principales :</w:t>
      </w:r>
    </w:p>
    <w:tbl>
      <w:tblPr>
        <w:tblW w:type="auto" w:w="0"/>
        <w:jc w:val="center"/>
        <w:tblLayout w:type="fixed"/>
        <w:tblLook w:firstColumn="1" w:firstRow="1" w:lastColumn="0" w:lastRow="0" w:noHBand="0" w:noVBand="1" w:val="04A0"/>
      </w:tblPr>
      <w:tblGrid>
        <w:gridCol w:w="3135"/>
        <w:gridCol w:w="3135"/>
        <w:gridCol w:w="3135"/>
      </w:tblGrid>
      <w:tr>
        <w:tc>
          <w:tcPr>
            <w:tcW w:type="dxa" w:w="2268"/>
            <w:shd w:val="clear" w:color="auto" w:fill="0A2540"/>
            <w:tcBorders>
              <w:top w:val="single" w:sz="4" w:color="BFBFBF"/>
              <w:left w:val="single" w:sz="4" w:color="BFBFBF"/>
              <w:bottom w:val="single" w:sz="4" w:color="BFBFBF"/>
              <w:right w:val="single" w:sz="4" w:color="BFBFBF"/>
            </w:tcBorders>
            <w:vAlign w:val="center"/>
          </w:tcPr>
          <w:p>
            <w:pPr>
              <w:jc w:val="center"/>
            </w:pPr>
            <w:r>
              <w:rPr>
                <w:rFonts w:ascii="Calibri" w:hAnsi="Calibri"/>
                <w:b/>
                <w:color w:val="FFFFFF"/>
                <w:sz w:val="20"/>
              </w:rPr>
              <w:t>Table</w:t>
            </w:r>
          </w:p>
        </w:tc>
        <w:tc>
          <w:tcPr>
            <w:tcW w:type="dxa" w:w="3402"/>
            <w:shd w:val="clear" w:color="auto" w:fill="0A2540"/>
            <w:tcBorders>
              <w:top w:val="single" w:sz="4" w:color="BFBFBF"/>
              <w:left w:val="single" w:sz="4" w:color="BFBFBF"/>
              <w:bottom w:val="single" w:sz="4" w:color="BFBFBF"/>
              <w:right w:val="single" w:sz="4" w:color="BFBFBF"/>
            </w:tcBorders>
            <w:vAlign w:val="center"/>
          </w:tcPr>
          <w:p>
            <w:pPr>
              <w:jc w:val="center"/>
            </w:pPr>
            <w:r>
              <w:rPr>
                <w:rFonts w:ascii="Calibri" w:hAnsi="Calibri"/>
                <w:b/>
                <w:color w:val="FFFFFF"/>
                <w:sz w:val="20"/>
              </w:rPr>
              <w:t>Rôle</w:t>
            </w:r>
          </w:p>
        </w:tc>
        <w:tc>
          <w:tcPr>
            <w:tcW w:type="dxa" w:w="3402"/>
            <w:shd w:val="clear" w:color="auto" w:fill="0A2540"/>
            <w:tcBorders>
              <w:top w:val="single" w:sz="4" w:color="BFBFBF"/>
              <w:left w:val="single" w:sz="4" w:color="BFBFBF"/>
              <w:bottom w:val="single" w:sz="4" w:color="BFBFBF"/>
              <w:right w:val="single" w:sz="4" w:color="BFBFBF"/>
            </w:tcBorders>
            <w:vAlign w:val="center"/>
          </w:tcPr>
          <w:p>
            <w:pPr>
              <w:jc w:val="center"/>
            </w:pPr>
            <w:r>
              <w:rPr>
                <w:rFonts w:ascii="Calibri" w:hAnsi="Calibri"/>
                <w:b/>
                <w:color w:val="FFFFFF"/>
                <w:sz w:val="20"/>
              </w:rPr>
              <w:t>Relations clés</w:t>
            </w:r>
          </w:p>
        </w:tc>
      </w:tr>
      <w:tr>
        <w:tc>
          <w:tcPr>
            <w:tcW w:type="dxa" w:w="2268"/>
            <w:tcBorders>
              <w:top w:val="single" w:sz="4" w:color="BFBFBF"/>
              <w:left w:val="single" w:sz="4" w:color="BFBFBF"/>
              <w:bottom w:val="single" w:sz="4" w:color="BFBFBF"/>
              <w:right w:val="single" w:sz="4" w:color="BFBFBF"/>
            </w:tcBorders>
            <w:vAlign w:val="center"/>
          </w:tcPr>
          <w:p>
            <w:r>
              <w:rPr>
                <w:rFonts w:ascii="Calibri" w:hAnsi="Calibri"/>
                <w:sz w:val="20"/>
              </w:rPr>
              <w:t>tenant</w:t>
            </w:r>
          </w:p>
        </w:tc>
        <w:tc>
          <w:tcPr>
            <w:tcW w:type="dxa" w:w="3402"/>
            <w:tcBorders>
              <w:top w:val="single" w:sz="4" w:color="BFBFBF"/>
              <w:left w:val="single" w:sz="4" w:color="BFBFBF"/>
              <w:bottom w:val="single" w:sz="4" w:color="BFBFBF"/>
              <w:right w:val="single" w:sz="4" w:color="BFBFBF"/>
            </w:tcBorders>
            <w:vAlign w:val="center"/>
          </w:tcPr>
          <w:p>
            <w:r>
              <w:rPr>
                <w:rFonts w:ascii="Calibri" w:hAnsi="Calibri"/>
                <w:sz w:val="20"/>
              </w:rPr>
              <w:t>Organisation cliente (multi-tenant)</w:t>
            </w:r>
          </w:p>
        </w:tc>
        <w:tc>
          <w:tcPr>
            <w:tcW w:type="dxa" w:w="3402"/>
            <w:tcBorders>
              <w:top w:val="single" w:sz="4" w:color="BFBFBF"/>
              <w:left w:val="single" w:sz="4" w:color="BFBFBF"/>
              <w:bottom w:val="single" w:sz="4" w:color="BFBFBF"/>
              <w:right w:val="single" w:sz="4" w:color="BFBFBF"/>
            </w:tcBorders>
            <w:vAlign w:val="center"/>
          </w:tcPr>
          <w:p>
            <w:r>
              <w:rPr>
                <w:rFonts w:ascii="Calibri" w:hAnsi="Calibri"/>
                <w:sz w:val="20"/>
              </w:rPr>
              <w:t>1-N users, 1-N projects</w:t>
            </w:r>
          </w:p>
        </w:tc>
      </w:tr>
      <w:tr>
        <w:tc>
          <w:tcPr>
            <w:tcW w:type="dxa" w:w="2268"/>
            <w:shd w:val="clear" w:color="auto" w:fill="F2F2F2"/>
            <w:tcBorders>
              <w:top w:val="single" w:sz="4" w:color="BFBFBF"/>
              <w:left w:val="single" w:sz="4" w:color="BFBFBF"/>
              <w:bottom w:val="single" w:sz="4" w:color="BFBFBF"/>
              <w:right w:val="single" w:sz="4" w:color="BFBFBF"/>
            </w:tcBorders>
            <w:vAlign w:val="center"/>
          </w:tcPr>
          <w:p>
            <w:r>
              <w:rPr>
                <w:rFonts w:ascii="Calibri" w:hAnsi="Calibri"/>
                <w:sz w:val="20"/>
              </w:rPr>
              <w:t>user</w:t>
            </w:r>
          </w:p>
        </w:tc>
        <w:tc>
          <w:tcPr>
            <w:tcW w:type="dxa" w:w="3402"/>
            <w:shd w:val="clear" w:color="auto" w:fill="F2F2F2"/>
            <w:tcBorders>
              <w:top w:val="single" w:sz="4" w:color="BFBFBF"/>
              <w:left w:val="single" w:sz="4" w:color="BFBFBF"/>
              <w:bottom w:val="single" w:sz="4" w:color="BFBFBF"/>
              <w:right w:val="single" w:sz="4" w:color="BFBFBF"/>
            </w:tcBorders>
            <w:vAlign w:val="center"/>
          </w:tcPr>
          <w:p>
            <w:r>
              <w:rPr>
                <w:rFonts w:ascii="Calibri" w:hAnsi="Calibri"/>
                <w:sz w:val="20"/>
              </w:rPr>
              <w:t>Utilisateur authentifié</w:t>
            </w:r>
          </w:p>
        </w:tc>
        <w:tc>
          <w:tcPr>
            <w:tcW w:type="dxa" w:w="3402"/>
            <w:shd w:val="clear" w:color="auto" w:fill="F2F2F2"/>
            <w:tcBorders>
              <w:top w:val="single" w:sz="4" w:color="BFBFBF"/>
              <w:left w:val="single" w:sz="4" w:color="BFBFBF"/>
              <w:bottom w:val="single" w:sz="4" w:color="BFBFBF"/>
              <w:right w:val="single" w:sz="4" w:color="BFBFBF"/>
            </w:tcBorders>
            <w:vAlign w:val="center"/>
          </w:tcPr>
          <w:p>
            <w:r>
              <w:rPr>
                <w:rFonts w:ascii="Calibri" w:hAnsi="Calibri"/>
                <w:sz w:val="20"/>
              </w:rPr>
              <w:t>N-N projects via role</w:t>
            </w:r>
          </w:p>
        </w:tc>
      </w:tr>
      <w:tr>
        <w:tc>
          <w:tcPr>
            <w:tcW w:type="dxa" w:w="2268"/>
            <w:tcBorders>
              <w:top w:val="single" w:sz="4" w:color="BFBFBF"/>
              <w:left w:val="single" w:sz="4" w:color="BFBFBF"/>
              <w:bottom w:val="single" w:sz="4" w:color="BFBFBF"/>
              <w:right w:val="single" w:sz="4" w:color="BFBFBF"/>
            </w:tcBorders>
            <w:vAlign w:val="center"/>
          </w:tcPr>
          <w:p>
            <w:r>
              <w:rPr>
                <w:rFonts w:ascii="Calibri" w:hAnsi="Calibri"/>
                <w:sz w:val="20"/>
              </w:rPr>
              <w:t>template</w:t>
            </w:r>
          </w:p>
        </w:tc>
        <w:tc>
          <w:tcPr>
            <w:tcW w:type="dxa" w:w="3402"/>
            <w:tcBorders>
              <w:top w:val="single" w:sz="4" w:color="BFBFBF"/>
              <w:left w:val="single" w:sz="4" w:color="BFBFBF"/>
              <w:bottom w:val="single" w:sz="4" w:color="BFBFBF"/>
              <w:right w:val="single" w:sz="4" w:color="BFBFBF"/>
            </w:tcBorders>
            <w:vAlign w:val="center"/>
          </w:tcPr>
          <w:p>
            <w:r>
              <w:rPr>
                <w:rFonts w:ascii="Calibri" w:hAnsi="Calibri"/>
                <w:sz w:val="20"/>
              </w:rPr>
              <w:t>Template sectoriel versionné</w:t>
            </w:r>
          </w:p>
        </w:tc>
        <w:tc>
          <w:tcPr>
            <w:tcW w:type="dxa" w:w="3402"/>
            <w:tcBorders>
              <w:top w:val="single" w:sz="4" w:color="BFBFBF"/>
              <w:left w:val="single" w:sz="4" w:color="BFBFBF"/>
              <w:bottom w:val="single" w:sz="4" w:color="BFBFBF"/>
              <w:right w:val="single" w:sz="4" w:color="BFBFBF"/>
            </w:tcBorders>
            <w:vAlign w:val="center"/>
          </w:tcPr>
          <w:p>
            <w:r>
              <w:rPr>
                <w:rFonts w:ascii="Calibri" w:hAnsi="Calibri"/>
                <w:sz w:val="20"/>
              </w:rPr>
              <w:t>1-N assumptions, 1-N calculations</w:t>
            </w:r>
          </w:p>
        </w:tc>
      </w:tr>
      <w:tr>
        <w:tc>
          <w:tcPr>
            <w:tcW w:type="dxa" w:w="2268"/>
            <w:shd w:val="clear" w:color="auto" w:fill="F2F2F2"/>
            <w:tcBorders>
              <w:top w:val="single" w:sz="4" w:color="BFBFBF"/>
              <w:left w:val="single" w:sz="4" w:color="BFBFBF"/>
              <w:bottom w:val="single" w:sz="4" w:color="BFBFBF"/>
              <w:right w:val="single" w:sz="4" w:color="BFBFBF"/>
            </w:tcBorders>
            <w:vAlign w:val="center"/>
          </w:tcPr>
          <w:p>
            <w:r>
              <w:rPr>
                <w:rFonts w:ascii="Calibri" w:hAnsi="Calibri"/>
                <w:sz w:val="20"/>
              </w:rPr>
              <w:t>project</w:t>
            </w:r>
          </w:p>
        </w:tc>
        <w:tc>
          <w:tcPr>
            <w:tcW w:type="dxa" w:w="3402"/>
            <w:shd w:val="clear" w:color="auto" w:fill="F2F2F2"/>
            <w:tcBorders>
              <w:top w:val="single" w:sz="4" w:color="BFBFBF"/>
              <w:left w:val="single" w:sz="4" w:color="BFBFBF"/>
              <w:bottom w:val="single" w:sz="4" w:color="BFBFBF"/>
              <w:right w:val="single" w:sz="4" w:color="BFBFBF"/>
            </w:tcBorders>
            <w:vAlign w:val="center"/>
          </w:tcPr>
          <w:p>
            <w:r>
              <w:rPr>
                <w:rFonts w:ascii="Calibri" w:hAnsi="Calibri"/>
                <w:sz w:val="20"/>
              </w:rPr>
              <w:t>Projet de modélisation</w:t>
            </w:r>
          </w:p>
        </w:tc>
        <w:tc>
          <w:tcPr>
            <w:tcW w:type="dxa" w:w="3402"/>
            <w:shd w:val="clear" w:color="auto" w:fill="F2F2F2"/>
            <w:tcBorders>
              <w:top w:val="single" w:sz="4" w:color="BFBFBF"/>
              <w:left w:val="single" w:sz="4" w:color="BFBFBF"/>
              <w:bottom w:val="single" w:sz="4" w:color="BFBFBF"/>
              <w:right w:val="single" w:sz="4" w:color="BFBFBF"/>
            </w:tcBorders>
            <w:vAlign w:val="center"/>
          </w:tcPr>
          <w:p>
            <w:r>
              <w:rPr>
                <w:rFonts w:ascii="Calibri" w:hAnsi="Calibri"/>
                <w:sz w:val="20"/>
              </w:rPr>
              <w:t>FK template, 1-N scenarios</w:t>
            </w:r>
          </w:p>
        </w:tc>
      </w:tr>
      <w:tr>
        <w:tc>
          <w:tcPr>
            <w:tcW w:type="dxa" w:w="2268"/>
            <w:tcBorders>
              <w:top w:val="single" w:sz="4" w:color="BFBFBF"/>
              <w:left w:val="single" w:sz="4" w:color="BFBFBF"/>
              <w:bottom w:val="single" w:sz="4" w:color="BFBFBF"/>
              <w:right w:val="single" w:sz="4" w:color="BFBFBF"/>
            </w:tcBorders>
            <w:vAlign w:val="center"/>
          </w:tcPr>
          <w:p>
            <w:r>
              <w:rPr>
                <w:rFonts w:ascii="Calibri" w:hAnsi="Calibri"/>
                <w:sz w:val="20"/>
              </w:rPr>
              <w:t>scenario</w:t>
            </w:r>
          </w:p>
        </w:tc>
        <w:tc>
          <w:tcPr>
            <w:tcW w:type="dxa" w:w="3402"/>
            <w:tcBorders>
              <w:top w:val="single" w:sz="4" w:color="BFBFBF"/>
              <w:left w:val="single" w:sz="4" w:color="BFBFBF"/>
              <w:bottom w:val="single" w:sz="4" w:color="BFBFBF"/>
              <w:right w:val="single" w:sz="4" w:color="BFBFBF"/>
            </w:tcBorders>
            <w:vAlign w:val="center"/>
          </w:tcPr>
          <w:p>
            <w:r>
              <w:rPr>
                <w:rFonts w:ascii="Calibri" w:hAnsi="Calibri"/>
                <w:sz w:val="20"/>
              </w:rPr>
              <w:t>Scénario d'un projet (base, pess, opt)</w:t>
            </w:r>
          </w:p>
        </w:tc>
        <w:tc>
          <w:tcPr>
            <w:tcW w:type="dxa" w:w="3402"/>
            <w:tcBorders>
              <w:top w:val="single" w:sz="4" w:color="BFBFBF"/>
              <w:left w:val="single" w:sz="4" w:color="BFBFBF"/>
              <w:bottom w:val="single" w:sz="4" w:color="BFBFBF"/>
              <w:right w:val="single" w:sz="4" w:color="BFBFBF"/>
            </w:tcBorders>
            <w:vAlign w:val="center"/>
          </w:tcPr>
          <w:p>
            <w:r>
              <w:rPr>
                <w:rFonts w:ascii="Calibri" w:hAnsi="Calibri"/>
                <w:sz w:val="20"/>
              </w:rPr>
              <w:t>FK project, 1-N assumption_values</w:t>
            </w:r>
          </w:p>
        </w:tc>
      </w:tr>
      <w:tr>
        <w:tc>
          <w:tcPr>
            <w:tcW w:type="dxa" w:w="2268"/>
            <w:shd w:val="clear" w:color="auto" w:fill="F2F2F2"/>
            <w:tcBorders>
              <w:top w:val="single" w:sz="4" w:color="BFBFBF"/>
              <w:left w:val="single" w:sz="4" w:color="BFBFBF"/>
              <w:bottom w:val="single" w:sz="4" w:color="BFBFBF"/>
              <w:right w:val="single" w:sz="4" w:color="BFBFBF"/>
            </w:tcBorders>
            <w:vAlign w:val="center"/>
          </w:tcPr>
          <w:p>
            <w:r>
              <w:rPr>
                <w:rFonts w:ascii="Calibri" w:hAnsi="Calibri"/>
                <w:sz w:val="20"/>
              </w:rPr>
              <w:t>assumption_value</w:t>
            </w:r>
          </w:p>
        </w:tc>
        <w:tc>
          <w:tcPr>
            <w:tcW w:type="dxa" w:w="3402"/>
            <w:shd w:val="clear" w:color="auto" w:fill="F2F2F2"/>
            <w:tcBorders>
              <w:top w:val="single" w:sz="4" w:color="BFBFBF"/>
              <w:left w:val="single" w:sz="4" w:color="BFBFBF"/>
              <w:bottom w:val="single" w:sz="4" w:color="BFBFBF"/>
              <w:right w:val="single" w:sz="4" w:color="BFBFBF"/>
            </w:tcBorders>
            <w:vAlign w:val="center"/>
          </w:tcPr>
          <w:p>
            <w:r>
              <w:rPr>
                <w:rFonts w:ascii="Calibri" w:hAnsi="Calibri"/>
                <w:sz w:val="20"/>
              </w:rPr>
              <w:t>Valeur d'une hypothèse pour un scénario</w:t>
            </w:r>
          </w:p>
        </w:tc>
        <w:tc>
          <w:tcPr>
            <w:tcW w:type="dxa" w:w="3402"/>
            <w:shd w:val="clear" w:color="auto" w:fill="F2F2F2"/>
            <w:tcBorders>
              <w:top w:val="single" w:sz="4" w:color="BFBFBF"/>
              <w:left w:val="single" w:sz="4" w:color="BFBFBF"/>
              <w:bottom w:val="single" w:sz="4" w:color="BFBFBF"/>
              <w:right w:val="single" w:sz="4" w:color="BFBFBF"/>
            </w:tcBorders>
            <w:vAlign w:val="center"/>
          </w:tcPr>
          <w:p>
            <w:r>
              <w:rPr>
                <w:rFonts w:ascii="Calibri" w:hAnsi="Calibri"/>
                <w:sz w:val="20"/>
              </w:rPr>
              <w:t>FK scenario, FK assumption_def</w:t>
            </w:r>
          </w:p>
        </w:tc>
      </w:tr>
      <w:tr>
        <w:tc>
          <w:tcPr>
            <w:tcW w:type="dxa" w:w="2268"/>
            <w:tcBorders>
              <w:top w:val="single" w:sz="4" w:color="BFBFBF"/>
              <w:left w:val="single" w:sz="4" w:color="BFBFBF"/>
              <w:bottom w:val="single" w:sz="4" w:color="BFBFBF"/>
              <w:right w:val="single" w:sz="4" w:color="BFBFBF"/>
            </w:tcBorders>
            <w:vAlign w:val="center"/>
          </w:tcPr>
          <w:p>
            <w:r>
              <w:rPr>
                <w:rFonts w:ascii="Calibri" w:hAnsi="Calibri"/>
                <w:sz w:val="20"/>
              </w:rPr>
              <w:t>calculation_result</w:t>
            </w:r>
          </w:p>
        </w:tc>
        <w:tc>
          <w:tcPr>
            <w:tcW w:type="dxa" w:w="3402"/>
            <w:tcBorders>
              <w:top w:val="single" w:sz="4" w:color="BFBFBF"/>
              <w:left w:val="single" w:sz="4" w:color="BFBFBF"/>
              <w:bottom w:val="single" w:sz="4" w:color="BFBFBF"/>
              <w:right w:val="single" w:sz="4" w:color="BFBFBF"/>
            </w:tcBorders>
            <w:vAlign w:val="center"/>
          </w:tcPr>
          <w:p>
            <w:r>
              <w:rPr>
                <w:rFonts w:ascii="Calibri" w:hAnsi="Calibri"/>
                <w:sz w:val="20"/>
              </w:rPr>
              <w:t>Résultats des calculations (cache)</w:t>
            </w:r>
          </w:p>
        </w:tc>
        <w:tc>
          <w:tcPr>
            <w:tcW w:type="dxa" w:w="3402"/>
            <w:tcBorders>
              <w:top w:val="single" w:sz="4" w:color="BFBFBF"/>
              <w:left w:val="single" w:sz="4" w:color="BFBFBF"/>
              <w:bottom w:val="single" w:sz="4" w:color="BFBFBF"/>
              <w:right w:val="single" w:sz="4" w:color="BFBFBF"/>
            </w:tcBorders>
            <w:vAlign w:val="center"/>
          </w:tcPr>
          <w:p>
            <w:r>
              <w:rPr>
                <w:rFonts w:ascii="Calibri" w:hAnsi="Calibri"/>
                <w:sz w:val="20"/>
              </w:rPr>
              <w:t>FK scenario, FK calculation_def</w:t>
            </w:r>
          </w:p>
        </w:tc>
      </w:tr>
      <w:tr>
        <w:tc>
          <w:tcPr>
            <w:tcW w:type="dxa" w:w="2268"/>
            <w:shd w:val="clear" w:color="auto" w:fill="F2F2F2"/>
            <w:tcBorders>
              <w:top w:val="single" w:sz="4" w:color="BFBFBF"/>
              <w:left w:val="single" w:sz="4" w:color="BFBFBF"/>
              <w:bottom w:val="single" w:sz="4" w:color="BFBFBF"/>
              <w:right w:val="single" w:sz="4" w:color="BFBFBF"/>
            </w:tcBorders>
            <w:vAlign w:val="center"/>
          </w:tcPr>
          <w:p>
            <w:r>
              <w:rPr>
                <w:rFonts w:ascii="Calibri" w:hAnsi="Calibri"/>
                <w:sz w:val="20"/>
              </w:rPr>
              <w:t>audit_log</w:t>
            </w:r>
          </w:p>
        </w:tc>
        <w:tc>
          <w:tcPr>
            <w:tcW w:type="dxa" w:w="3402"/>
            <w:shd w:val="clear" w:color="auto" w:fill="F2F2F2"/>
            <w:tcBorders>
              <w:top w:val="single" w:sz="4" w:color="BFBFBF"/>
              <w:left w:val="single" w:sz="4" w:color="BFBFBF"/>
              <w:bottom w:val="single" w:sz="4" w:color="BFBFBF"/>
              <w:right w:val="single" w:sz="4" w:color="BFBFBF"/>
            </w:tcBorders>
            <w:vAlign w:val="center"/>
          </w:tcPr>
          <w:p>
            <w:r>
              <w:rPr>
                <w:rFonts w:ascii="Calibri" w:hAnsi="Calibri"/>
                <w:sz w:val="20"/>
              </w:rPr>
              <w:t>Journal d'audit (append-only)</w:t>
            </w:r>
          </w:p>
        </w:tc>
        <w:tc>
          <w:tcPr>
            <w:tcW w:type="dxa" w:w="3402"/>
            <w:shd w:val="clear" w:color="auto" w:fill="F2F2F2"/>
            <w:tcBorders>
              <w:top w:val="single" w:sz="4" w:color="BFBFBF"/>
              <w:left w:val="single" w:sz="4" w:color="BFBFBF"/>
              <w:bottom w:val="single" w:sz="4" w:color="BFBFBF"/>
              <w:right w:val="single" w:sz="4" w:color="BFBFBF"/>
            </w:tcBorders>
            <w:vAlign w:val="center"/>
          </w:tcPr>
          <w:p>
            <w:r>
              <w:rPr>
                <w:rFonts w:ascii="Calibri" w:hAnsi="Calibri"/>
                <w:sz w:val="20"/>
              </w:rPr>
              <w:t>FK user, FK project</w:t>
            </w:r>
          </w:p>
        </w:tc>
      </w:tr>
    </w:tbl>
    <w:p>
      <w:pPr>
        <w:spacing w:after="120"/>
      </w:pPr>
    </w:p>
    <w:p>
      <w:pPr>
        <w:pStyle w:val="Heading2"/>
        <w:spacing w:before="240" w:after="120"/>
      </w:pPr>
      <w:r>
        <w:rPr>
          <w:rFonts w:ascii="Calibri" w:hAnsi="Calibri"/>
          <w:b/>
          <w:color w:val="0A2540"/>
          <w:sz w:val="30"/>
        </w:rPr>
        <w:t>6.4 Moteur de calcul — Architecture interne</w:t>
      </w:r>
    </w:p>
    <w:p>
      <w:pPr>
        <w:spacing w:before="0" w:after="120"/>
        <w:jc w:val="both"/>
      </w:pPr>
      <w:r>
        <w:rPr>
          <w:rFonts w:ascii="Calibri" w:hAnsi="Calibri"/>
          <w:b w:val="0"/>
          <w:i w:val="0"/>
          <w:color w:val="000000"/>
          <w:sz w:val="22"/>
        </w:rPr>
        <w:t>Le moteur de calcul est le composant le plus critique. Il doit respecter quatre exigences : déterminisme (résultats reproductibles), traçabilité (lineage complet), performance (calcul d'un modèle 5 ans en &lt; 2 secondes), et compatibilité Excel (export en formules natives).</w:t>
      </w:r>
    </w:p>
    <w:p>
      <w:pPr>
        <w:pStyle w:val="Heading3"/>
        <w:spacing w:before="180" w:after="120"/>
      </w:pPr>
      <w:r>
        <w:rPr>
          <w:rFonts w:ascii="Calibri" w:hAnsi="Calibri"/>
          <w:b/>
          <w:color w:val="0A2540"/>
          <w:sz w:val="26"/>
        </w:rPr>
        <w:t>Architecture interne du moteur</w:t>
      </w:r>
    </w:p>
    <w:p>
      <w:pPr>
        <w:pStyle w:val="ListNumber"/>
        <w:spacing w:after="60"/>
        <w:ind w:left="340"/>
      </w:pPr>
      <w:r>
        <w:rPr>
          <w:rFonts w:ascii="Calibri" w:hAnsi="Calibri"/>
          <w:sz w:val="22"/>
        </w:rPr>
        <w:t>Couche 1 — Parser : transformation du DSL ou des formules en AST (Abstract Syntax Tree)</w:t>
      </w:r>
    </w:p>
    <w:p>
      <w:pPr>
        <w:pStyle w:val="ListNumber"/>
        <w:spacing w:after="60"/>
        <w:ind w:left="340"/>
      </w:pPr>
      <w:r>
        <w:rPr>
          <w:rFonts w:ascii="Calibri" w:hAnsi="Calibri"/>
          <w:sz w:val="22"/>
        </w:rPr>
        <w:t>Couche 2 — Dependency analyzer : extraction du graphe de dépendances, détection des cycles légitimes vs erreurs</w:t>
      </w:r>
    </w:p>
    <w:p>
      <w:pPr>
        <w:pStyle w:val="ListNumber"/>
        <w:spacing w:after="60"/>
        <w:ind w:left="340"/>
      </w:pPr>
      <w:r>
        <w:rPr>
          <w:rFonts w:ascii="Calibri" w:hAnsi="Calibri"/>
          <w:sz w:val="22"/>
        </w:rPr>
        <w:t>Couche 3 — Topological sorter : ordonnancement des calculs en respectant les dépendances</w:t>
      </w:r>
    </w:p>
    <w:p>
      <w:pPr>
        <w:pStyle w:val="ListNumber"/>
        <w:spacing w:after="60"/>
        <w:ind w:left="340"/>
      </w:pPr>
      <w:r>
        <w:rPr>
          <w:rFonts w:ascii="Calibri" w:hAnsi="Calibri"/>
          <w:sz w:val="22"/>
        </w:rPr>
        <w:t>Couche 4 — Evaluator : exécution des calculs sur les vecteurs temporels (numpy pour performance)</w:t>
      </w:r>
    </w:p>
    <w:p>
      <w:pPr>
        <w:pStyle w:val="ListNumber"/>
        <w:spacing w:after="60"/>
        <w:ind w:left="340"/>
      </w:pPr>
      <w:r>
        <w:rPr>
          <w:rFonts w:ascii="Calibri" w:hAnsi="Calibri"/>
          <w:sz w:val="22"/>
        </w:rPr>
        <w:t>Couche 5 — Iterative solver : Newton-Raphson amorti pour les boucles convergentes (BFR ↔ FF ↔ résultat)</w:t>
      </w:r>
    </w:p>
    <w:p>
      <w:pPr>
        <w:pStyle w:val="ListNumber"/>
        <w:spacing w:after="60"/>
        <w:ind w:left="340"/>
      </w:pPr>
      <w:r>
        <w:rPr>
          <w:rFonts w:ascii="Calibri" w:hAnsi="Calibri"/>
          <w:sz w:val="22"/>
        </w:rPr>
        <w:t>Couche 6 — Cache &amp; memoization : mise en cache des résultats intermédiaires, invalidation sélective</w:t>
      </w:r>
    </w:p>
    <w:p>
      <w:pPr>
        <w:pStyle w:val="ListNumber"/>
        <w:spacing w:after="60"/>
        <w:ind w:left="340"/>
      </w:pPr>
      <w:r>
        <w:rPr>
          <w:rFonts w:ascii="Calibri" w:hAnsi="Calibri"/>
          <w:sz w:val="22"/>
        </w:rPr>
        <w:t>Couche 7 — Excel exporter : sérialisation en formules openpyxl, préservation du lineage</w:t>
      </w:r>
    </w:p>
    <w:p>
      <w:pPr>
        <w:pStyle w:val="Heading2"/>
        <w:spacing w:before="240" w:after="120"/>
      </w:pPr>
      <w:r>
        <w:rPr>
          <w:rFonts w:ascii="Calibri" w:hAnsi="Calibri"/>
          <w:b/>
          <w:color w:val="0A2540"/>
          <w:sz w:val="30"/>
        </w:rPr>
        <w:t>6.5 API REST publique</w:t>
      </w:r>
    </w:p>
    <w:p>
      <w:pPr>
        <w:spacing w:before="0" w:after="120"/>
        <w:jc w:val="both"/>
      </w:pPr>
      <w:r>
        <w:rPr>
          <w:rFonts w:ascii="Calibri" w:hAnsi="Calibri"/>
          <w:b w:val="0"/>
          <w:i w:val="0"/>
          <w:color w:val="000000"/>
          <w:sz w:val="22"/>
        </w:rPr>
        <w:t>L'outil expose une API REST documentée (OpenAPI 3.0) permettant l'intégration avec d'autres systèmes (CRM, ERP, BI).</w:t>
      </w:r>
    </w:p>
    <w:tbl>
      <w:tblPr>
        <w:tblW w:type="auto" w:w="0"/>
        <w:jc w:val="center"/>
        <w:tblLayout w:type="fixed"/>
        <w:tblLook w:firstColumn="1" w:firstRow="1" w:lastColumn="0" w:lastRow="0" w:noHBand="0" w:noVBand="1" w:val="04A0"/>
      </w:tblPr>
      <w:tblGrid>
        <w:gridCol w:w="3135"/>
        <w:gridCol w:w="3135"/>
        <w:gridCol w:w="3135"/>
      </w:tblGrid>
      <w:tr>
        <w:tc>
          <w:tcPr>
            <w:tcW w:type="dxa" w:w="3685"/>
            <w:shd w:val="clear" w:color="auto" w:fill="0A2540"/>
            <w:tcBorders>
              <w:top w:val="single" w:sz="4" w:color="BFBFBF"/>
              <w:left w:val="single" w:sz="4" w:color="BFBFBF"/>
              <w:bottom w:val="single" w:sz="4" w:color="BFBFBF"/>
              <w:right w:val="single" w:sz="4" w:color="BFBFBF"/>
            </w:tcBorders>
            <w:vAlign w:val="center"/>
          </w:tcPr>
          <w:p>
            <w:pPr>
              <w:jc w:val="center"/>
            </w:pPr>
            <w:r>
              <w:rPr>
                <w:rFonts w:ascii="Calibri" w:hAnsi="Calibri"/>
                <w:b/>
                <w:color w:val="FFFFFF"/>
                <w:sz w:val="20"/>
              </w:rPr>
              <w:t>Endpoint</w:t>
            </w:r>
          </w:p>
        </w:tc>
        <w:tc>
          <w:tcPr>
            <w:tcW w:type="dxa" w:w="1417"/>
            <w:shd w:val="clear" w:color="auto" w:fill="0A2540"/>
            <w:tcBorders>
              <w:top w:val="single" w:sz="4" w:color="BFBFBF"/>
              <w:left w:val="single" w:sz="4" w:color="BFBFBF"/>
              <w:bottom w:val="single" w:sz="4" w:color="BFBFBF"/>
              <w:right w:val="single" w:sz="4" w:color="BFBFBF"/>
            </w:tcBorders>
            <w:vAlign w:val="center"/>
          </w:tcPr>
          <w:p>
            <w:pPr>
              <w:jc w:val="center"/>
            </w:pPr>
            <w:r>
              <w:rPr>
                <w:rFonts w:ascii="Calibri" w:hAnsi="Calibri"/>
                <w:b/>
                <w:color w:val="FFFFFF"/>
                <w:sz w:val="20"/>
              </w:rPr>
              <w:t>Méthode</w:t>
            </w:r>
          </w:p>
        </w:tc>
        <w:tc>
          <w:tcPr>
            <w:tcW w:type="dxa" w:w="3969"/>
            <w:shd w:val="clear" w:color="auto" w:fill="0A2540"/>
            <w:tcBorders>
              <w:top w:val="single" w:sz="4" w:color="BFBFBF"/>
              <w:left w:val="single" w:sz="4" w:color="BFBFBF"/>
              <w:bottom w:val="single" w:sz="4" w:color="BFBFBF"/>
              <w:right w:val="single" w:sz="4" w:color="BFBFBF"/>
            </w:tcBorders>
            <w:vAlign w:val="center"/>
          </w:tcPr>
          <w:p>
            <w:pPr>
              <w:jc w:val="center"/>
            </w:pPr>
            <w:r>
              <w:rPr>
                <w:rFonts w:ascii="Calibri" w:hAnsi="Calibri"/>
                <w:b/>
                <w:color w:val="FFFFFF"/>
                <w:sz w:val="20"/>
              </w:rPr>
              <w:t>Rôle</w:t>
            </w:r>
          </w:p>
        </w:tc>
      </w:tr>
      <w:tr>
        <w:tc>
          <w:tcPr>
            <w:tcW w:type="dxa" w:w="3685"/>
            <w:tcBorders>
              <w:top w:val="single" w:sz="4" w:color="BFBFBF"/>
              <w:left w:val="single" w:sz="4" w:color="BFBFBF"/>
              <w:bottom w:val="single" w:sz="4" w:color="BFBFBF"/>
              <w:right w:val="single" w:sz="4" w:color="BFBFBF"/>
            </w:tcBorders>
            <w:vAlign w:val="center"/>
          </w:tcPr>
          <w:p>
            <w:r>
              <w:rPr>
                <w:rFonts w:ascii="Calibri" w:hAnsi="Calibri"/>
                <w:sz w:val="20"/>
              </w:rPr>
              <w:t>/api/v1/templates</w:t>
            </w:r>
          </w:p>
        </w:tc>
        <w:tc>
          <w:tcPr>
            <w:tcW w:type="dxa" w:w="1417"/>
            <w:tcBorders>
              <w:top w:val="single" w:sz="4" w:color="BFBFBF"/>
              <w:left w:val="single" w:sz="4" w:color="BFBFBF"/>
              <w:bottom w:val="single" w:sz="4" w:color="BFBFBF"/>
              <w:right w:val="single" w:sz="4" w:color="BFBFBF"/>
            </w:tcBorders>
            <w:vAlign w:val="center"/>
          </w:tcPr>
          <w:p>
            <w:r>
              <w:rPr>
                <w:rFonts w:ascii="Calibri" w:hAnsi="Calibri"/>
                <w:sz w:val="20"/>
              </w:rPr>
              <w:t>GET</w:t>
            </w:r>
          </w:p>
        </w:tc>
        <w:tc>
          <w:tcPr>
            <w:tcW w:type="dxa" w:w="3969"/>
            <w:tcBorders>
              <w:top w:val="single" w:sz="4" w:color="BFBFBF"/>
              <w:left w:val="single" w:sz="4" w:color="BFBFBF"/>
              <w:bottom w:val="single" w:sz="4" w:color="BFBFBF"/>
              <w:right w:val="single" w:sz="4" w:color="BFBFBF"/>
            </w:tcBorders>
            <w:vAlign w:val="center"/>
          </w:tcPr>
          <w:p>
            <w:r>
              <w:rPr>
                <w:rFonts w:ascii="Calibri" w:hAnsi="Calibri"/>
                <w:sz w:val="20"/>
              </w:rPr>
              <w:t>Liste des templates disponibles</w:t>
            </w:r>
          </w:p>
        </w:tc>
      </w:tr>
      <w:tr>
        <w:tc>
          <w:tcPr>
            <w:tcW w:type="dxa" w:w="3685"/>
            <w:shd w:val="clear" w:color="auto" w:fill="F2F2F2"/>
            <w:tcBorders>
              <w:top w:val="single" w:sz="4" w:color="BFBFBF"/>
              <w:left w:val="single" w:sz="4" w:color="BFBFBF"/>
              <w:bottom w:val="single" w:sz="4" w:color="BFBFBF"/>
              <w:right w:val="single" w:sz="4" w:color="BFBFBF"/>
            </w:tcBorders>
            <w:vAlign w:val="center"/>
          </w:tcPr>
          <w:p>
            <w:r>
              <w:rPr>
                <w:rFonts w:ascii="Calibri" w:hAnsi="Calibri"/>
                <w:sz w:val="20"/>
              </w:rPr>
              <w:t>/api/v1/projects</w:t>
            </w:r>
          </w:p>
        </w:tc>
        <w:tc>
          <w:tcPr>
            <w:tcW w:type="dxa" w:w="1417"/>
            <w:shd w:val="clear" w:color="auto" w:fill="F2F2F2"/>
            <w:tcBorders>
              <w:top w:val="single" w:sz="4" w:color="BFBFBF"/>
              <w:left w:val="single" w:sz="4" w:color="BFBFBF"/>
              <w:bottom w:val="single" w:sz="4" w:color="BFBFBF"/>
              <w:right w:val="single" w:sz="4" w:color="BFBFBF"/>
            </w:tcBorders>
            <w:vAlign w:val="center"/>
          </w:tcPr>
          <w:p>
            <w:r>
              <w:rPr>
                <w:rFonts w:ascii="Calibri" w:hAnsi="Calibri"/>
                <w:sz w:val="20"/>
              </w:rPr>
              <w:t>GET/POST</w:t>
            </w:r>
          </w:p>
        </w:tc>
        <w:tc>
          <w:tcPr>
            <w:tcW w:type="dxa" w:w="3969"/>
            <w:shd w:val="clear" w:color="auto" w:fill="F2F2F2"/>
            <w:tcBorders>
              <w:top w:val="single" w:sz="4" w:color="BFBFBF"/>
              <w:left w:val="single" w:sz="4" w:color="BFBFBF"/>
              <w:bottom w:val="single" w:sz="4" w:color="BFBFBF"/>
              <w:right w:val="single" w:sz="4" w:color="BFBFBF"/>
            </w:tcBorders>
            <w:vAlign w:val="center"/>
          </w:tcPr>
          <w:p>
            <w:r>
              <w:rPr>
                <w:rFonts w:ascii="Calibri" w:hAnsi="Calibri"/>
                <w:sz w:val="20"/>
              </w:rPr>
              <w:t>Lister / créer un projet</w:t>
            </w:r>
          </w:p>
        </w:tc>
      </w:tr>
      <w:tr>
        <w:tc>
          <w:tcPr>
            <w:tcW w:type="dxa" w:w="3685"/>
            <w:tcBorders>
              <w:top w:val="single" w:sz="4" w:color="BFBFBF"/>
              <w:left w:val="single" w:sz="4" w:color="BFBFBF"/>
              <w:bottom w:val="single" w:sz="4" w:color="BFBFBF"/>
              <w:right w:val="single" w:sz="4" w:color="BFBFBF"/>
            </w:tcBorders>
            <w:vAlign w:val="center"/>
          </w:tcPr>
          <w:p>
            <w:r>
              <w:rPr>
                <w:rFonts w:ascii="Calibri" w:hAnsi="Calibri"/>
                <w:sz w:val="20"/>
              </w:rPr>
              <w:t>/api/v1/projects/{id}/scenarios</w:t>
            </w:r>
          </w:p>
        </w:tc>
        <w:tc>
          <w:tcPr>
            <w:tcW w:type="dxa" w:w="1417"/>
            <w:tcBorders>
              <w:top w:val="single" w:sz="4" w:color="BFBFBF"/>
              <w:left w:val="single" w:sz="4" w:color="BFBFBF"/>
              <w:bottom w:val="single" w:sz="4" w:color="BFBFBF"/>
              <w:right w:val="single" w:sz="4" w:color="BFBFBF"/>
            </w:tcBorders>
            <w:vAlign w:val="center"/>
          </w:tcPr>
          <w:p>
            <w:r>
              <w:rPr>
                <w:rFonts w:ascii="Calibri" w:hAnsi="Calibri"/>
                <w:sz w:val="20"/>
              </w:rPr>
              <w:t>GET/POST</w:t>
            </w:r>
          </w:p>
        </w:tc>
        <w:tc>
          <w:tcPr>
            <w:tcW w:type="dxa" w:w="3969"/>
            <w:tcBorders>
              <w:top w:val="single" w:sz="4" w:color="BFBFBF"/>
              <w:left w:val="single" w:sz="4" w:color="BFBFBF"/>
              <w:bottom w:val="single" w:sz="4" w:color="BFBFBF"/>
              <w:right w:val="single" w:sz="4" w:color="BFBFBF"/>
            </w:tcBorders>
            <w:vAlign w:val="center"/>
          </w:tcPr>
          <w:p>
            <w:r>
              <w:rPr>
                <w:rFonts w:ascii="Calibri" w:hAnsi="Calibri"/>
                <w:sz w:val="20"/>
              </w:rPr>
              <w:t>Scénarios d'un projet</w:t>
            </w:r>
          </w:p>
        </w:tc>
      </w:tr>
      <w:tr>
        <w:tc>
          <w:tcPr>
            <w:tcW w:type="dxa" w:w="3685"/>
            <w:shd w:val="clear" w:color="auto" w:fill="F2F2F2"/>
            <w:tcBorders>
              <w:top w:val="single" w:sz="4" w:color="BFBFBF"/>
              <w:left w:val="single" w:sz="4" w:color="BFBFBF"/>
              <w:bottom w:val="single" w:sz="4" w:color="BFBFBF"/>
              <w:right w:val="single" w:sz="4" w:color="BFBFBF"/>
            </w:tcBorders>
            <w:vAlign w:val="center"/>
          </w:tcPr>
          <w:p>
            <w:r>
              <w:rPr>
                <w:rFonts w:ascii="Calibri" w:hAnsi="Calibri"/>
                <w:sz w:val="20"/>
              </w:rPr>
              <w:t>/api/v1/scenarios/{id}/assumptions</w:t>
            </w:r>
          </w:p>
        </w:tc>
        <w:tc>
          <w:tcPr>
            <w:tcW w:type="dxa" w:w="1417"/>
            <w:shd w:val="clear" w:color="auto" w:fill="F2F2F2"/>
            <w:tcBorders>
              <w:top w:val="single" w:sz="4" w:color="BFBFBF"/>
              <w:left w:val="single" w:sz="4" w:color="BFBFBF"/>
              <w:bottom w:val="single" w:sz="4" w:color="BFBFBF"/>
              <w:right w:val="single" w:sz="4" w:color="BFBFBF"/>
            </w:tcBorders>
            <w:vAlign w:val="center"/>
          </w:tcPr>
          <w:p>
            <w:r>
              <w:rPr>
                <w:rFonts w:ascii="Calibri" w:hAnsi="Calibri"/>
                <w:sz w:val="20"/>
              </w:rPr>
              <w:t>GET/PUT</w:t>
            </w:r>
          </w:p>
        </w:tc>
        <w:tc>
          <w:tcPr>
            <w:tcW w:type="dxa" w:w="3969"/>
            <w:shd w:val="clear" w:color="auto" w:fill="F2F2F2"/>
            <w:tcBorders>
              <w:top w:val="single" w:sz="4" w:color="BFBFBF"/>
              <w:left w:val="single" w:sz="4" w:color="BFBFBF"/>
              <w:bottom w:val="single" w:sz="4" w:color="BFBFBF"/>
              <w:right w:val="single" w:sz="4" w:color="BFBFBF"/>
            </w:tcBorders>
            <w:vAlign w:val="center"/>
          </w:tcPr>
          <w:p>
            <w:r>
              <w:rPr>
                <w:rFonts w:ascii="Calibri" w:hAnsi="Calibri"/>
                <w:sz w:val="20"/>
              </w:rPr>
              <w:t>Lire / modifier hypothèses</w:t>
            </w:r>
          </w:p>
        </w:tc>
      </w:tr>
      <w:tr>
        <w:tc>
          <w:tcPr>
            <w:tcW w:type="dxa" w:w="3685"/>
            <w:tcBorders>
              <w:top w:val="single" w:sz="4" w:color="BFBFBF"/>
              <w:left w:val="single" w:sz="4" w:color="BFBFBF"/>
              <w:bottom w:val="single" w:sz="4" w:color="BFBFBF"/>
              <w:right w:val="single" w:sz="4" w:color="BFBFBF"/>
            </w:tcBorders>
            <w:vAlign w:val="center"/>
          </w:tcPr>
          <w:p>
            <w:r>
              <w:rPr>
                <w:rFonts w:ascii="Calibri" w:hAnsi="Calibri"/>
                <w:sz w:val="20"/>
              </w:rPr>
              <w:t>/api/v1/scenarios/{id}/calculate</w:t>
            </w:r>
          </w:p>
        </w:tc>
        <w:tc>
          <w:tcPr>
            <w:tcW w:type="dxa" w:w="1417"/>
            <w:tcBorders>
              <w:top w:val="single" w:sz="4" w:color="BFBFBF"/>
              <w:left w:val="single" w:sz="4" w:color="BFBFBF"/>
              <w:bottom w:val="single" w:sz="4" w:color="BFBFBF"/>
              <w:right w:val="single" w:sz="4" w:color="BFBFBF"/>
            </w:tcBorders>
            <w:vAlign w:val="center"/>
          </w:tcPr>
          <w:p>
            <w:r>
              <w:rPr>
                <w:rFonts w:ascii="Calibri" w:hAnsi="Calibri"/>
                <w:sz w:val="20"/>
              </w:rPr>
              <w:t>POST</w:t>
            </w:r>
          </w:p>
        </w:tc>
        <w:tc>
          <w:tcPr>
            <w:tcW w:type="dxa" w:w="3969"/>
            <w:tcBorders>
              <w:top w:val="single" w:sz="4" w:color="BFBFBF"/>
              <w:left w:val="single" w:sz="4" w:color="BFBFBF"/>
              <w:bottom w:val="single" w:sz="4" w:color="BFBFBF"/>
              <w:right w:val="single" w:sz="4" w:color="BFBFBF"/>
            </w:tcBorders>
            <w:vAlign w:val="center"/>
          </w:tcPr>
          <w:p>
            <w:r>
              <w:rPr>
                <w:rFonts w:ascii="Calibri" w:hAnsi="Calibri"/>
                <w:sz w:val="20"/>
              </w:rPr>
              <w:t>Déclencher un calcul</w:t>
            </w:r>
          </w:p>
        </w:tc>
      </w:tr>
      <w:tr>
        <w:tc>
          <w:tcPr>
            <w:tcW w:type="dxa" w:w="3685"/>
            <w:shd w:val="clear" w:color="auto" w:fill="F2F2F2"/>
            <w:tcBorders>
              <w:top w:val="single" w:sz="4" w:color="BFBFBF"/>
              <w:left w:val="single" w:sz="4" w:color="BFBFBF"/>
              <w:bottom w:val="single" w:sz="4" w:color="BFBFBF"/>
              <w:right w:val="single" w:sz="4" w:color="BFBFBF"/>
            </w:tcBorders>
            <w:vAlign w:val="center"/>
          </w:tcPr>
          <w:p>
            <w:r>
              <w:rPr>
                <w:rFonts w:ascii="Calibri" w:hAnsi="Calibri"/>
                <w:sz w:val="20"/>
              </w:rPr>
              <w:t>/api/v1/scenarios/{id}/results</w:t>
            </w:r>
          </w:p>
        </w:tc>
        <w:tc>
          <w:tcPr>
            <w:tcW w:type="dxa" w:w="1417"/>
            <w:shd w:val="clear" w:color="auto" w:fill="F2F2F2"/>
            <w:tcBorders>
              <w:top w:val="single" w:sz="4" w:color="BFBFBF"/>
              <w:left w:val="single" w:sz="4" w:color="BFBFBF"/>
              <w:bottom w:val="single" w:sz="4" w:color="BFBFBF"/>
              <w:right w:val="single" w:sz="4" w:color="BFBFBF"/>
            </w:tcBorders>
            <w:vAlign w:val="center"/>
          </w:tcPr>
          <w:p>
            <w:r>
              <w:rPr>
                <w:rFonts w:ascii="Calibri" w:hAnsi="Calibri"/>
                <w:sz w:val="20"/>
              </w:rPr>
              <w:t>GET</w:t>
            </w:r>
          </w:p>
        </w:tc>
        <w:tc>
          <w:tcPr>
            <w:tcW w:type="dxa" w:w="3969"/>
            <w:shd w:val="clear" w:color="auto" w:fill="F2F2F2"/>
            <w:tcBorders>
              <w:top w:val="single" w:sz="4" w:color="BFBFBF"/>
              <w:left w:val="single" w:sz="4" w:color="BFBFBF"/>
              <w:bottom w:val="single" w:sz="4" w:color="BFBFBF"/>
              <w:right w:val="single" w:sz="4" w:color="BFBFBF"/>
            </w:tcBorders>
            <w:vAlign w:val="center"/>
          </w:tcPr>
          <w:p>
            <w:r>
              <w:rPr>
                <w:rFonts w:ascii="Calibri" w:hAnsi="Calibri"/>
                <w:sz w:val="20"/>
              </w:rPr>
              <w:t>Récupérer les résultats</w:t>
            </w:r>
          </w:p>
        </w:tc>
      </w:tr>
      <w:tr>
        <w:tc>
          <w:tcPr>
            <w:tcW w:type="dxa" w:w="3685"/>
            <w:tcBorders>
              <w:top w:val="single" w:sz="4" w:color="BFBFBF"/>
              <w:left w:val="single" w:sz="4" w:color="BFBFBF"/>
              <w:bottom w:val="single" w:sz="4" w:color="BFBFBF"/>
              <w:right w:val="single" w:sz="4" w:color="BFBFBF"/>
            </w:tcBorders>
            <w:vAlign w:val="center"/>
          </w:tcPr>
          <w:p>
            <w:r>
              <w:rPr>
                <w:rFonts w:ascii="Calibri" w:hAnsi="Calibri"/>
                <w:sz w:val="20"/>
              </w:rPr>
              <w:t>/api/v1/scenarios/{id}/export</w:t>
            </w:r>
          </w:p>
        </w:tc>
        <w:tc>
          <w:tcPr>
            <w:tcW w:type="dxa" w:w="1417"/>
            <w:tcBorders>
              <w:top w:val="single" w:sz="4" w:color="BFBFBF"/>
              <w:left w:val="single" w:sz="4" w:color="BFBFBF"/>
              <w:bottom w:val="single" w:sz="4" w:color="BFBFBF"/>
              <w:right w:val="single" w:sz="4" w:color="BFBFBF"/>
            </w:tcBorders>
            <w:vAlign w:val="center"/>
          </w:tcPr>
          <w:p>
            <w:r>
              <w:rPr>
                <w:rFonts w:ascii="Calibri" w:hAnsi="Calibri"/>
                <w:sz w:val="20"/>
              </w:rPr>
              <w:t>POST</w:t>
            </w:r>
          </w:p>
        </w:tc>
        <w:tc>
          <w:tcPr>
            <w:tcW w:type="dxa" w:w="3969"/>
            <w:tcBorders>
              <w:top w:val="single" w:sz="4" w:color="BFBFBF"/>
              <w:left w:val="single" w:sz="4" w:color="BFBFBF"/>
              <w:bottom w:val="single" w:sz="4" w:color="BFBFBF"/>
              <w:right w:val="single" w:sz="4" w:color="BFBFBF"/>
            </w:tcBorders>
            <w:vAlign w:val="center"/>
          </w:tcPr>
          <w:p>
            <w:r>
              <w:rPr>
                <w:rFonts w:ascii="Calibri" w:hAnsi="Calibri"/>
                <w:sz w:val="20"/>
              </w:rPr>
              <w:t>Exporter (xlsx, pdf, json)</w:t>
            </w:r>
          </w:p>
        </w:tc>
      </w:tr>
      <w:tr>
        <w:tc>
          <w:tcPr>
            <w:tcW w:type="dxa" w:w="3685"/>
            <w:shd w:val="clear" w:color="auto" w:fill="F2F2F2"/>
            <w:tcBorders>
              <w:top w:val="single" w:sz="4" w:color="BFBFBF"/>
              <w:left w:val="single" w:sz="4" w:color="BFBFBF"/>
              <w:bottom w:val="single" w:sz="4" w:color="BFBFBF"/>
              <w:right w:val="single" w:sz="4" w:color="BFBFBF"/>
            </w:tcBorders>
            <w:vAlign w:val="center"/>
          </w:tcPr>
          <w:p>
            <w:r>
              <w:rPr>
                <w:rFonts w:ascii="Calibri" w:hAnsi="Calibri"/>
                <w:sz w:val="20"/>
              </w:rPr>
              <w:t>/api/v1/audit/{project_id}</w:t>
            </w:r>
          </w:p>
        </w:tc>
        <w:tc>
          <w:tcPr>
            <w:tcW w:type="dxa" w:w="1417"/>
            <w:shd w:val="clear" w:color="auto" w:fill="F2F2F2"/>
            <w:tcBorders>
              <w:top w:val="single" w:sz="4" w:color="BFBFBF"/>
              <w:left w:val="single" w:sz="4" w:color="BFBFBF"/>
              <w:bottom w:val="single" w:sz="4" w:color="BFBFBF"/>
              <w:right w:val="single" w:sz="4" w:color="BFBFBF"/>
            </w:tcBorders>
            <w:vAlign w:val="center"/>
          </w:tcPr>
          <w:p>
            <w:r>
              <w:rPr>
                <w:rFonts w:ascii="Calibri" w:hAnsi="Calibri"/>
                <w:sz w:val="20"/>
              </w:rPr>
              <w:t>GET</w:t>
            </w:r>
          </w:p>
        </w:tc>
        <w:tc>
          <w:tcPr>
            <w:tcW w:type="dxa" w:w="3969"/>
            <w:shd w:val="clear" w:color="auto" w:fill="F2F2F2"/>
            <w:tcBorders>
              <w:top w:val="single" w:sz="4" w:color="BFBFBF"/>
              <w:left w:val="single" w:sz="4" w:color="BFBFBF"/>
              <w:bottom w:val="single" w:sz="4" w:color="BFBFBF"/>
              <w:right w:val="single" w:sz="4" w:color="BFBFBF"/>
            </w:tcBorders>
            <w:vAlign w:val="center"/>
          </w:tcPr>
          <w:p>
            <w:r>
              <w:rPr>
                <w:rFonts w:ascii="Calibri" w:hAnsi="Calibri"/>
                <w:sz w:val="20"/>
              </w:rPr>
              <w:t>Journal d'audit d'un projet</w:t>
            </w:r>
          </w:p>
        </w:tc>
      </w:tr>
    </w:tbl>
    <w:p>
      <w:pPr>
        <w:spacing w:after="120"/>
      </w:pPr>
    </w:p>
    <w:p>
      <w:pPr>
        <w:pStyle w:val="Heading2"/>
        <w:spacing w:before="240" w:after="120"/>
      </w:pPr>
      <w:r>
        <w:rPr>
          <w:rFonts w:ascii="Calibri" w:hAnsi="Calibri"/>
          <w:b/>
          <w:color w:val="0A2540"/>
          <w:sz w:val="30"/>
        </w:rPr>
        <w:t>6.6 Sécurité et conformité</w:t>
      </w:r>
    </w:p>
    <w:p>
      <w:pPr>
        <w:pStyle w:val="ListBullet"/>
        <w:spacing w:after="60"/>
        <w:ind w:left="340"/>
      </w:pPr>
      <w:r>
        <w:rPr>
          <w:rFonts w:ascii="Calibri" w:hAnsi="Calibri"/>
          <w:sz w:val="22"/>
        </w:rPr>
        <w:t>Authentification OAuth2 + JWT, support SSO (SAML / OIDC) pour clients enterprise</w:t>
      </w:r>
    </w:p>
    <w:p>
      <w:pPr>
        <w:pStyle w:val="ListBullet"/>
        <w:spacing w:after="60"/>
        <w:ind w:left="340"/>
      </w:pPr>
      <w:r>
        <w:rPr>
          <w:rFonts w:ascii="Calibri" w:hAnsi="Calibri"/>
          <w:sz w:val="22"/>
        </w:rPr>
        <w:t>Autorisation par rôle (RBAC) au niveau projet et scénario : owner, editor, viewer, auditor</w:t>
      </w:r>
    </w:p>
    <w:p>
      <w:pPr>
        <w:pStyle w:val="ListBullet"/>
        <w:spacing w:after="60"/>
        <w:ind w:left="340"/>
      </w:pPr>
      <w:r>
        <w:rPr>
          <w:rFonts w:ascii="Calibri" w:hAnsi="Calibri"/>
          <w:sz w:val="22"/>
        </w:rPr>
        <w:t>Chiffrement en transit (TLS 1.3) et au repos (AES-256 sur base de données)</w:t>
      </w:r>
    </w:p>
    <w:p>
      <w:pPr>
        <w:pStyle w:val="ListBullet"/>
        <w:spacing w:after="60"/>
        <w:ind w:left="340"/>
      </w:pPr>
      <w:r>
        <w:rPr>
          <w:rFonts w:ascii="Calibri" w:hAnsi="Calibri"/>
          <w:sz w:val="22"/>
        </w:rPr>
        <w:t>Isolation multi-tenant : schéma par tenant ou row-level security PostgreSQL</w:t>
      </w:r>
    </w:p>
    <w:p>
      <w:pPr>
        <w:pStyle w:val="ListBullet"/>
        <w:spacing w:after="60"/>
        <w:ind w:left="340"/>
      </w:pPr>
      <w:r>
        <w:rPr>
          <w:rFonts w:ascii="Calibri" w:hAnsi="Calibri"/>
          <w:sz w:val="22"/>
        </w:rPr>
        <w:t>Audit log immuable, conservation 10 ans (conformité OHADA / fiscale)</w:t>
      </w:r>
    </w:p>
    <w:p>
      <w:pPr>
        <w:pStyle w:val="ListBullet"/>
        <w:spacing w:after="60"/>
        <w:ind w:left="340"/>
      </w:pPr>
      <w:r>
        <w:rPr>
          <w:rFonts w:ascii="Calibri" w:hAnsi="Calibri"/>
          <w:sz w:val="22"/>
        </w:rPr>
        <w:t>Hébergement : data center régional (zone UEMOA/CEMAC) pour souveraineté des données</w:t>
      </w:r>
    </w:p>
    <w:p>
      <w:pPr>
        <w:pStyle w:val="ListBullet"/>
        <w:spacing w:after="60"/>
        <w:ind w:left="340"/>
      </w:pPr>
      <w:r>
        <w:rPr>
          <w:rFonts w:ascii="Calibri" w:hAnsi="Calibri"/>
          <w:sz w:val="22"/>
        </w:rPr>
        <w:t>Conformité RGPD pour clients européens, lois locales pour clients locaux</w:t>
      </w:r>
    </w:p>
    <w:p>
      <w:pPr>
        <w:pStyle w:val="ListBullet"/>
        <w:spacing w:after="60"/>
        <w:ind w:left="340"/>
      </w:pPr>
      <w:r>
        <w:rPr>
          <w:rFonts w:ascii="Calibri" w:hAnsi="Calibri"/>
          <w:sz w:val="22"/>
        </w:rPr>
        <w:t>Backups quotidiens, RPO &lt; 4h, RTO &lt; 24h, disaster recovery testé annuellement</w:t>
      </w:r>
    </w:p>
    <w:p>
      <w:pPr>
        <w:pStyle w:val="Heading2"/>
        <w:spacing w:before="240" w:after="120"/>
      </w:pPr>
      <w:r>
        <w:rPr>
          <w:rFonts w:ascii="Calibri" w:hAnsi="Calibri"/>
          <w:b/>
          <w:color w:val="0A2540"/>
          <w:sz w:val="30"/>
        </w:rPr>
        <w:t>6.7 Architecture de déploiement</w:t>
      </w:r>
    </w:p>
    <w:p>
      <w:pPr>
        <w:spacing w:before="0" w:after="120"/>
        <w:jc w:val="both"/>
      </w:pPr>
      <w:r>
        <w:rPr>
          <w:rFonts w:ascii="Calibri" w:hAnsi="Calibri"/>
          <w:b w:val="0"/>
          <w:i w:val="0"/>
          <w:color w:val="000000"/>
          <w:sz w:val="22"/>
        </w:rPr>
        <w:t>Trois environnements distincts : Dev (intégration continue, données fictives), Staging (recette utilisateur, données anonymisées), Production (clients réels). Déploiement par conteneurs Docker orchestrés par Kubernetes. Scaling horizontal automatique sur la couche API et les workers de calcul.</w:t>
      </w:r>
    </w:p>
    <w:tbl>
      <w:tblPr>
        <w:tblW w:type="auto" w:w="0"/>
        <w:tblLook w:firstColumn="1" w:firstRow="1" w:lastColumn="0" w:lastRow="0" w:noHBand="0" w:noVBand="1" w:val="04A0"/>
      </w:tblPr>
      <w:tblGrid>
        <w:gridCol w:w="9406"/>
      </w:tblGrid>
      <w:tr>
        <w:tc>
          <w:tcPr>
            <w:tcW w:type="dxa" w:w="9406"/>
            <w:shd w:val="clear" w:color="auto" w:fill="D6E0EC"/>
            <w:tcBorders>
              <w:top w:val="single" w:sz="12" w:color="0A2540"/>
              <w:bottom w:val="single" w:sz="4" w:color="0A2540"/>
              <w:left w:val="single" w:sz="24" w:color="0A2540"/>
              <w:right w:val="single" w:sz="4" w:color="0A2540"/>
            </w:tcBorders>
          </w:tcPr>
          <w:p>
            <w:r>
              <w:rPr>
                <w:rFonts w:ascii="Calibri" w:hAnsi="Calibri"/>
                <w:b/>
                <w:color w:val="0A2540"/>
                <w:sz w:val="22"/>
              </w:rPr>
              <w:t>Choix d'architecture critique : monolithe modulaire vs microservices</w:t>
            </w:r>
          </w:p>
          <w:p>
            <w:pPr>
              <w:jc w:val="both"/>
            </w:pPr>
            <w:r>
              <w:rPr>
                <w:rFonts w:ascii="Calibri" w:hAnsi="Calibri"/>
                <w:sz w:val="22"/>
              </w:rPr>
              <w:t>Pour la V1 / MVP, un monolithe modulaire (FastAPI + workers Celery + PostgreSQL + Redis) est suffisant et plus simple à maintenir. La séparation en microservices (moteur de calcul, gestion projets, auth, export, BI) ne devient pertinente qu'à partir de plusieurs centaines de tenants ou en cas de charges très différentes par composant. Recommandation : démarrer monolithe modulaire avec une architecture en hexagonal/clean code permettant l'extraction future de microservices.</w:t>
            </w:r>
          </w:p>
        </w:tc>
      </w:tr>
    </w:tbl>
    <w:p>
      <w:pPr>
        <w:spacing w:after="120"/>
      </w:pPr>
    </w:p>
    <w:p>
      <w:r>
        <w:br w:type="page"/>
      </w:r>
    </w:p>
    <w:p>
      <w:pPr>
        <w:pStyle w:val="Heading1"/>
        <w:spacing w:before="240" w:after="120"/>
      </w:pPr>
      <w:r>
        <w:rPr>
          <w:rFonts w:ascii="Calibri" w:hAnsi="Calibri"/>
          <w:b/>
          <w:color w:val="0A2540"/>
          <w:sz w:val="36"/>
        </w:rPr>
        <w:t>7. Roadmap de développement</w:t>
      </w:r>
    </w:p>
    <w:p>
      <w:pPr>
        <w:pStyle w:val="Heading2"/>
        <w:spacing w:before="240" w:after="120"/>
      </w:pPr>
      <w:r>
        <w:rPr>
          <w:rFonts w:ascii="Calibri" w:hAnsi="Calibri"/>
          <w:b/>
          <w:color w:val="0A2540"/>
          <w:sz w:val="30"/>
        </w:rPr>
        <w:t>7.1 Phasage proposé</w:t>
      </w:r>
    </w:p>
    <w:tbl>
      <w:tblPr>
        <w:tblW w:type="auto" w:w="0"/>
        <w:jc w:val="center"/>
        <w:tblLayout w:type="fixed"/>
        <w:tblLook w:firstColumn="1" w:firstRow="1" w:lastColumn="0" w:lastRow="0" w:noHBand="0" w:noVBand="1" w:val="04A0"/>
      </w:tblPr>
      <w:tblGrid>
        <w:gridCol w:w="2351"/>
        <w:gridCol w:w="2351"/>
        <w:gridCol w:w="2351"/>
        <w:gridCol w:w="2351"/>
      </w:tblGrid>
      <w:tr>
        <w:tc>
          <w:tcPr>
            <w:tcW w:type="dxa" w:w="1984"/>
            <w:shd w:val="clear" w:color="auto" w:fill="0A2540"/>
            <w:tcBorders>
              <w:top w:val="single" w:sz="4" w:color="BFBFBF"/>
              <w:left w:val="single" w:sz="4" w:color="BFBFBF"/>
              <w:bottom w:val="single" w:sz="4" w:color="BFBFBF"/>
              <w:right w:val="single" w:sz="4" w:color="BFBFBF"/>
            </w:tcBorders>
            <w:vAlign w:val="center"/>
          </w:tcPr>
          <w:p>
            <w:pPr>
              <w:jc w:val="center"/>
            </w:pPr>
            <w:r>
              <w:rPr>
                <w:rFonts w:ascii="Calibri" w:hAnsi="Calibri"/>
                <w:b/>
                <w:color w:val="FFFFFF"/>
                <w:sz w:val="20"/>
              </w:rPr>
              <w:t>Phase</w:t>
            </w:r>
          </w:p>
        </w:tc>
        <w:tc>
          <w:tcPr>
            <w:tcW w:type="dxa" w:w="1417"/>
            <w:shd w:val="clear" w:color="auto" w:fill="0A2540"/>
            <w:tcBorders>
              <w:top w:val="single" w:sz="4" w:color="BFBFBF"/>
              <w:left w:val="single" w:sz="4" w:color="BFBFBF"/>
              <w:bottom w:val="single" w:sz="4" w:color="BFBFBF"/>
              <w:right w:val="single" w:sz="4" w:color="BFBFBF"/>
            </w:tcBorders>
            <w:vAlign w:val="center"/>
          </w:tcPr>
          <w:p>
            <w:pPr>
              <w:jc w:val="center"/>
            </w:pPr>
            <w:r>
              <w:rPr>
                <w:rFonts w:ascii="Calibri" w:hAnsi="Calibri"/>
                <w:b/>
                <w:color w:val="FFFFFF"/>
                <w:sz w:val="20"/>
              </w:rPr>
              <w:t>Durée</w:t>
            </w:r>
          </w:p>
        </w:tc>
        <w:tc>
          <w:tcPr>
            <w:tcW w:type="dxa" w:w="3685"/>
            <w:shd w:val="clear" w:color="auto" w:fill="0A2540"/>
            <w:tcBorders>
              <w:top w:val="single" w:sz="4" w:color="BFBFBF"/>
              <w:left w:val="single" w:sz="4" w:color="BFBFBF"/>
              <w:bottom w:val="single" w:sz="4" w:color="BFBFBF"/>
              <w:right w:val="single" w:sz="4" w:color="BFBFBF"/>
            </w:tcBorders>
            <w:vAlign w:val="center"/>
          </w:tcPr>
          <w:p>
            <w:pPr>
              <w:jc w:val="center"/>
            </w:pPr>
            <w:r>
              <w:rPr>
                <w:rFonts w:ascii="Calibri" w:hAnsi="Calibri"/>
                <w:b/>
                <w:color w:val="FFFFFF"/>
                <w:sz w:val="20"/>
              </w:rPr>
              <w:t>Périmètre</w:t>
            </w:r>
          </w:p>
        </w:tc>
        <w:tc>
          <w:tcPr>
            <w:tcW w:type="dxa" w:w="1984"/>
            <w:shd w:val="clear" w:color="auto" w:fill="0A2540"/>
            <w:tcBorders>
              <w:top w:val="single" w:sz="4" w:color="BFBFBF"/>
              <w:left w:val="single" w:sz="4" w:color="BFBFBF"/>
              <w:bottom w:val="single" w:sz="4" w:color="BFBFBF"/>
              <w:right w:val="single" w:sz="4" w:color="BFBFBF"/>
            </w:tcBorders>
            <w:vAlign w:val="center"/>
          </w:tcPr>
          <w:p>
            <w:pPr>
              <w:jc w:val="center"/>
            </w:pPr>
            <w:r>
              <w:rPr>
                <w:rFonts w:ascii="Calibri" w:hAnsi="Calibri"/>
                <w:b/>
                <w:color w:val="FFFFFF"/>
                <w:sz w:val="20"/>
              </w:rPr>
              <w:t>Livrables clés</w:t>
            </w:r>
          </w:p>
        </w:tc>
      </w:tr>
      <w:tr>
        <w:tc>
          <w:tcPr>
            <w:tcW w:type="dxa" w:w="1984"/>
            <w:tcBorders>
              <w:top w:val="single" w:sz="4" w:color="BFBFBF"/>
              <w:left w:val="single" w:sz="4" w:color="BFBFBF"/>
              <w:bottom w:val="single" w:sz="4" w:color="BFBFBF"/>
              <w:right w:val="single" w:sz="4" w:color="BFBFBF"/>
            </w:tcBorders>
            <w:vAlign w:val="center"/>
          </w:tcPr>
          <w:p>
            <w:r>
              <w:rPr>
                <w:rFonts w:ascii="Calibri" w:hAnsi="Calibri"/>
                <w:sz w:val="20"/>
              </w:rPr>
              <w:t>MVP — Fondations</w:t>
            </w:r>
          </w:p>
        </w:tc>
        <w:tc>
          <w:tcPr>
            <w:tcW w:type="dxa" w:w="1417"/>
            <w:tcBorders>
              <w:top w:val="single" w:sz="4" w:color="BFBFBF"/>
              <w:left w:val="single" w:sz="4" w:color="BFBFBF"/>
              <w:bottom w:val="single" w:sz="4" w:color="BFBFBF"/>
              <w:right w:val="single" w:sz="4" w:color="BFBFBF"/>
            </w:tcBorders>
            <w:vAlign w:val="center"/>
          </w:tcPr>
          <w:p>
            <w:r>
              <w:rPr>
                <w:rFonts w:ascii="Calibri" w:hAnsi="Calibri"/>
                <w:sz w:val="20"/>
              </w:rPr>
              <w:t>6 mois</w:t>
            </w:r>
          </w:p>
        </w:tc>
        <w:tc>
          <w:tcPr>
            <w:tcW w:type="dxa" w:w="3685"/>
            <w:tcBorders>
              <w:top w:val="single" w:sz="4" w:color="BFBFBF"/>
              <w:left w:val="single" w:sz="4" w:color="BFBFBF"/>
              <w:bottom w:val="single" w:sz="4" w:color="BFBFBF"/>
              <w:right w:val="single" w:sz="4" w:color="BFBFBF"/>
            </w:tcBorders>
            <w:vAlign w:val="center"/>
          </w:tcPr>
          <w:p>
            <w:r>
              <w:rPr>
                <w:rFonts w:ascii="Calibri" w:hAnsi="Calibri"/>
                <w:sz w:val="20"/>
              </w:rPr>
              <w:t>3 secteurs prioritaires (BTP, Banque, Assurance CIMA), moteur de calcul, P&amp;L+Bilan+Tréso, export Excel</w:t>
            </w:r>
          </w:p>
        </w:tc>
        <w:tc>
          <w:tcPr>
            <w:tcW w:type="dxa" w:w="1984"/>
            <w:tcBorders>
              <w:top w:val="single" w:sz="4" w:color="BFBFBF"/>
              <w:left w:val="single" w:sz="4" w:color="BFBFBF"/>
              <w:bottom w:val="single" w:sz="4" w:color="BFBFBF"/>
              <w:right w:val="single" w:sz="4" w:color="BFBFBF"/>
            </w:tcBorders>
            <w:vAlign w:val="center"/>
          </w:tcPr>
          <w:p>
            <w:r>
              <w:rPr>
                <w:rFonts w:ascii="Calibri" w:hAnsi="Calibri"/>
                <w:sz w:val="20"/>
              </w:rPr>
              <w:t>Outil utilisable internement H&amp;C Group</w:t>
            </w:r>
          </w:p>
        </w:tc>
      </w:tr>
      <w:tr>
        <w:tc>
          <w:tcPr>
            <w:tcW w:type="dxa" w:w="1984"/>
            <w:shd w:val="clear" w:color="auto" w:fill="F2F2F2"/>
            <w:tcBorders>
              <w:top w:val="single" w:sz="4" w:color="BFBFBF"/>
              <w:left w:val="single" w:sz="4" w:color="BFBFBF"/>
              <w:bottom w:val="single" w:sz="4" w:color="BFBFBF"/>
              <w:right w:val="single" w:sz="4" w:color="BFBFBF"/>
            </w:tcBorders>
            <w:vAlign w:val="center"/>
          </w:tcPr>
          <w:p>
            <w:r>
              <w:rPr>
                <w:rFonts w:ascii="Calibri" w:hAnsi="Calibri"/>
                <w:sz w:val="20"/>
              </w:rPr>
              <w:t>V1 — Élargissement</w:t>
            </w:r>
          </w:p>
        </w:tc>
        <w:tc>
          <w:tcPr>
            <w:tcW w:type="dxa" w:w="1417"/>
            <w:shd w:val="clear" w:color="auto" w:fill="F2F2F2"/>
            <w:tcBorders>
              <w:top w:val="single" w:sz="4" w:color="BFBFBF"/>
              <w:left w:val="single" w:sz="4" w:color="BFBFBF"/>
              <w:bottom w:val="single" w:sz="4" w:color="BFBFBF"/>
              <w:right w:val="single" w:sz="4" w:color="BFBFBF"/>
            </w:tcBorders>
            <w:vAlign w:val="center"/>
          </w:tcPr>
          <w:p>
            <w:r>
              <w:rPr>
                <w:rFonts w:ascii="Calibri" w:hAnsi="Calibri"/>
                <w:sz w:val="20"/>
              </w:rPr>
              <w:t>+ 6 mois</w:t>
            </w:r>
          </w:p>
        </w:tc>
        <w:tc>
          <w:tcPr>
            <w:tcW w:type="dxa" w:w="3685"/>
            <w:shd w:val="clear" w:color="auto" w:fill="F2F2F2"/>
            <w:tcBorders>
              <w:top w:val="single" w:sz="4" w:color="BFBFBF"/>
              <w:left w:val="single" w:sz="4" w:color="BFBFBF"/>
              <w:bottom w:val="single" w:sz="4" w:color="BFBFBF"/>
              <w:right w:val="single" w:sz="4" w:color="BFBFBF"/>
            </w:tcBorders>
            <w:vAlign w:val="center"/>
          </w:tcPr>
          <w:p>
            <w:r>
              <w:rPr>
                <w:rFonts w:ascii="Calibri" w:hAnsi="Calibri"/>
                <w:sz w:val="20"/>
              </w:rPr>
              <w:t>6 secteurs (ajout Commerce, Industrie, Fintech), scénarisation, KPIs, multi-utilisateurs</w:t>
            </w:r>
          </w:p>
        </w:tc>
        <w:tc>
          <w:tcPr>
            <w:tcW w:type="dxa" w:w="1984"/>
            <w:shd w:val="clear" w:color="auto" w:fill="F2F2F2"/>
            <w:tcBorders>
              <w:top w:val="single" w:sz="4" w:color="BFBFBF"/>
              <w:left w:val="single" w:sz="4" w:color="BFBFBF"/>
              <w:bottom w:val="single" w:sz="4" w:color="BFBFBF"/>
              <w:right w:val="single" w:sz="4" w:color="BFBFBF"/>
            </w:tcBorders>
            <w:vAlign w:val="center"/>
          </w:tcPr>
          <w:p>
            <w:r>
              <w:rPr>
                <w:rFonts w:ascii="Calibri" w:hAnsi="Calibri"/>
                <w:sz w:val="20"/>
              </w:rPr>
              <w:t>Mise en production pilotes clients</w:t>
            </w:r>
          </w:p>
        </w:tc>
      </w:tr>
      <w:tr>
        <w:tc>
          <w:tcPr>
            <w:tcW w:type="dxa" w:w="1984"/>
            <w:tcBorders>
              <w:top w:val="single" w:sz="4" w:color="BFBFBF"/>
              <w:left w:val="single" w:sz="4" w:color="BFBFBF"/>
              <w:bottom w:val="single" w:sz="4" w:color="BFBFBF"/>
              <w:right w:val="single" w:sz="4" w:color="BFBFBF"/>
            </w:tcBorders>
            <w:vAlign w:val="center"/>
          </w:tcPr>
          <w:p>
            <w:r>
              <w:rPr>
                <w:rFonts w:ascii="Calibri" w:hAnsi="Calibri"/>
                <w:sz w:val="20"/>
              </w:rPr>
              <w:t>V2 — Complétude</w:t>
            </w:r>
          </w:p>
        </w:tc>
        <w:tc>
          <w:tcPr>
            <w:tcW w:type="dxa" w:w="1417"/>
            <w:tcBorders>
              <w:top w:val="single" w:sz="4" w:color="BFBFBF"/>
              <w:left w:val="single" w:sz="4" w:color="BFBFBF"/>
              <w:bottom w:val="single" w:sz="4" w:color="BFBFBF"/>
              <w:right w:val="single" w:sz="4" w:color="BFBFBF"/>
            </w:tcBorders>
            <w:vAlign w:val="center"/>
          </w:tcPr>
          <w:p>
            <w:r>
              <w:rPr>
                <w:rFonts w:ascii="Calibri" w:hAnsi="Calibri"/>
                <w:sz w:val="20"/>
              </w:rPr>
              <w:t>+ 6 mois</w:t>
            </w:r>
          </w:p>
        </w:tc>
        <w:tc>
          <w:tcPr>
            <w:tcW w:type="dxa" w:w="3685"/>
            <w:tcBorders>
              <w:top w:val="single" w:sz="4" w:color="BFBFBF"/>
              <w:left w:val="single" w:sz="4" w:color="BFBFBF"/>
              <w:bottom w:val="single" w:sz="4" w:color="BFBFBF"/>
              <w:right w:val="single" w:sz="4" w:color="BFBFBF"/>
            </w:tcBorders>
            <w:vAlign w:val="center"/>
          </w:tcPr>
          <w:p>
            <w:r>
              <w:rPr>
                <w:rFonts w:ascii="Calibri" w:hAnsi="Calibri"/>
                <w:sz w:val="20"/>
              </w:rPr>
              <w:t>8 secteurs (ajout Services, Santé, ONG), stress tests, intégrations BI, API publique</w:t>
            </w:r>
          </w:p>
        </w:tc>
        <w:tc>
          <w:tcPr>
            <w:tcW w:type="dxa" w:w="1984"/>
            <w:tcBorders>
              <w:top w:val="single" w:sz="4" w:color="BFBFBF"/>
              <w:left w:val="single" w:sz="4" w:color="BFBFBF"/>
              <w:bottom w:val="single" w:sz="4" w:color="BFBFBF"/>
              <w:right w:val="single" w:sz="4" w:color="BFBFBF"/>
            </w:tcBorders>
            <w:vAlign w:val="center"/>
          </w:tcPr>
          <w:p>
            <w:r>
              <w:rPr>
                <w:rFonts w:ascii="Calibri" w:hAnsi="Calibri"/>
                <w:sz w:val="20"/>
              </w:rPr>
              <w:t>Commercialisation large</w:t>
            </w:r>
          </w:p>
        </w:tc>
      </w:tr>
      <w:tr>
        <w:tc>
          <w:tcPr>
            <w:tcW w:type="dxa" w:w="1984"/>
            <w:shd w:val="clear" w:color="auto" w:fill="F2F2F2"/>
            <w:tcBorders>
              <w:top w:val="single" w:sz="4" w:color="BFBFBF"/>
              <w:left w:val="single" w:sz="4" w:color="BFBFBF"/>
              <w:bottom w:val="single" w:sz="4" w:color="BFBFBF"/>
              <w:right w:val="single" w:sz="4" w:color="BFBFBF"/>
            </w:tcBorders>
            <w:vAlign w:val="center"/>
          </w:tcPr>
          <w:p>
            <w:r>
              <w:rPr>
                <w:rFonts w:ascii="Calibri" w:hAnsi="Calibri"/>
                <w:sz w:val="20"/>
              </w:rPr>
              <w:t>V3 — Industrialisation</w:t>
            </w:r>
          </w:p>
        </w:tc>
        <w:tc>
          <w:tcPr>
            <w:tcW w:type="dxa" w:w="1417"/>
            <w:shd w:val="clear" w:color="auto" w:fill="F2F2F2"/>
            <w:tcBorders>
              <w:top w:val="single" w:sz="4" w:color="BFBFBF"/>
              <w:left w:val="single" w:sz="4" w:color="BFBFBF"/>
              <w:bottom w:val="single" w:sz="4" w:color="BFBFBF"/>
              <w:right w:val="single" w:sz="4" w:color="BFBFBF"/>
            </w:tcBorders>
            <w:vAlign w:val="center"/>
          </w:tcPr>
          <w:p>
            <w:r>
              <w:rPr>
                <w:rFonts w:ascii="Calibri" w:hAnsi="Calibri"/>
                <w:sz w:val="20"/>
              </w:rPr>
              <w:t>+ 12 mois</w:t>
            </w:r>
          </w:p>
        </w:tc>
        <w:tc>
          <w:tcPr>
            <w:tcW w:type="dxa" w:w="3685"/>
            <w:shd w:val="clear" w:color="auto" w:fill="F2F2F2"/>
            <w:tcBorders>
              <w:top w:val="single" w:sz="4" w:color="BFBFBF"/>
              <w:left w:val="single" w:sz="4" w:color="BFBFBF"/>
              <w:bottom w:val="single" w:sz="4" w:color="BFBFBF"/>
              <w:right w:val="single" w:sz="4" w:color="BFBFBF"/>
            </w:tcBorders>
            <w:vAlign w:val="center"/>
          </w:tcPr>
          <w:p>
            <w:r>
              <w:rPr>
                <w:rFonts w:ascii="Calibri" w:hAnsi="Calibri"/>
                <w:sz w:val="20"/>
              </w:rPr>
              <w:t>Intégrations ERP/CRM, mobile, IA assistante, marketplace de templates</w:t>
            </w:r>
          </w:p>
        </w:tc>
        <w:tc>
          <w:tcPr>
            <w:tcW w:type="dxa" w:w="1984"/>
            <w:shd w:val="clear" w:color="auto" w:fill="F2F2F2"/>
            <w:tcBorders>
              <w:top w:val="single" w:sz="4" w:color="BFBFBF"/>
              <w:left w:val="single" w:sz="4" w:color="BFBFBF"/>
              <w:bottom w:val="single" w:sz="4" w:color="BFBFBF"/>
              <w:right w:val="single" w:sz="4" w:color="BFBFBF"/>
            </w:tcBorders>
            <w:vAlign w:val="center"/>
          </w:tcPr>
          <w:p>
            <w:r>
              <w:rPr>
                <w:rFonts w:ascii="Calibri" w:hAnsi="Calibri"/>
                <w:sz w:val="20"/>
              </w:rPr>
              <w:t>Plateforme leader régional</w:t>
            </w:r>
          </w:p>
        </w:tc>
      </w:tr>
    </w:tbl>
    <w:p>
      <w:pPr>
        <w:spacing w:after="120"/>
      </w:pPr>
    </w:p>
    <w:p>
      <w:pPr>
        <w:pStyle w:val="Heading2"/>
        <w:spacing w:before="240" w:after="120"/>
      </w:pPr>
      <w:r>
        <w:rPr>
          <w:rFonts w:ascii="Calibri" w:hAnsi="Calibri"/>
          <w:b/>
          <w:color w:val="0A2540"/>
          <w:sz w:val="30"/>
        </w:rPr>
        <w:t>7.2 Détail Phase 1 — MVP (6 mois)</w:t>
      </w:r>
    </w:p>
    <w:tbl>
      <w:tblPr>
        <w:tblW w:type="auto" w:w="0"/>
        <w:jc w:val="center"/>
        <w:tblLayout w:type="fixed"/>
        <w:tblLook w:firstColumn="1" w:firstRow="1" w:lastColumn="0" w:lastRow="0" w:noHBand="0" w:noVBand="1" w:val="04A0"/>
      </w:tblPr>
      <w:tblGrid>
        <w:gridCol w:w="3135"/>
        <w:gridCol w:w="3135"/>
        <w:gridCol w:w="3135"/>
      </w:tblGrid>
      <w:tr>
        <w:tc>
          <w:tcPr>
            <w:tcW w:type="dxa" w:w="1020"/>
            <w:shd w:val="clear" w:color="auto" w:fill="0A2540"/>
            <w:tcBorders>
              <w:top w:val="single" w:sz="4" w:color="BFBFBF"/>
              <w:left w:val="single" w:sz="4" w:color="BFBFBF"/>
              <w:bottom w:val="single" w:sz="4" w:color="BFBFBF"/>
              <w:right w:val="single" w:sz="4" w:color="BFBFBF"/>
            </w:tcBorders>
            <w:vAlign w:val="center"/>
          </w:tcPr>
          <w:p>
            <w:pPr>
              <w:jc w:val="center"/>
            </w:pPr>
            <w:r>
              <w:rPr>
                <w:rFonts w:ascii="Calibri" w:hAnsi="Calibri"/>
                <w:b/>
                <w:color w:val="FFFFFF"/>
                <w:sz w:val="20"/>
              </w:rPr>
              <w:t>Mois</w:t>
            </w:r>
          </w:p>
        </w:tc>
        <w:tc>
          <w:tcPr>
            <w:tcW w:type="dxa" w:w="4932"/>
            <w:shd w:val="clear" w:color="auto" w:fill="0A2540"/>
            <w:tcBorders>
              <w:top w:val="single" w:sz="4" w:color="BFBFBF"/>
              <w:left w:val="single" w:sz="4" w:color="BFBFBF"/>
              <w:bottom w:val="single" w:sz="4" w:color="BFBFBF"/>
              <w:right w:val="single" w:sz="4" w:color="BFBFBF"/>
            </w:tcBorders>
            <w:vAlign w:val="center"/>
          </w:tcPr>
          <w:p>
            <w:pPr>
              <w:jc w:val="center"/>
            </w:pPr>
            <w:r>
              <w:rPr>
                <w:rFonts w:ascii="Calibri" w:hAnsi="Calibri"/>
                <w:b/>
                <w:color w:val="FFFFFF"/>
                <w:sz w:val="20"/>
              </w:rPr>
              <w:t>Travaux</w:t>
            </w:r>
          </w:p>
        </w:tc>
        <w:tc>
          <w:tcPr>
            <w:tcW w:type="dxa" w:w="3118"/>
            <w:shd w:val="clear" w:color="auto" w:fill="0A2540"/>
            <w:tcBorders>
              <w:top w:val="single" w:sz="4" w:color="BFBFBF"/>
              <w:left w:val="single" w:sz="4" w:color="BFBFBF"/>
              <w:bottom w:val="single" w:sz="4" w:color="BFBFBF"/>
              <w:right w:val="single" w:sz="4" w:color="BFBFBF"/>
            </w:tcBorders>
            <w:vAlign w:val="center"/>
          </w:tcPr>
          <w:p>
            <w:pPr>
              <w:jc w:val="center"/>
            </w:pPr>
            <w:r>
              <w:rPr>
                <w:rFonts w:ascii="Calibri" w:hAnsi="Calibri"/>
                <w:b/>
                <w:color w:val="FFFFFF"/>
                <w:sz w:val="20"/>
              </w:rPr>
              <w:t>Livrable</w:t>
            </w:r>
          </w:p>
        </w:tc>
      </w:tr>
      <w:tr>
        <w:tc>
          <w:tcPr>
            <w:tcW w:type="dxa" w:w="1020"/>
            <w:tcBorders>
              <w:top w:val="single" w:sz="4" w:color="BFBFBF"/>
              <w:left w:val="single" w:sz="4" w:color="BFBFBF"/>
              <w:bottom w:val="single" w:sz="4" w:color="BFBFBF"/>
              <w:right w:val="single" w:sz="4" w:color="BFBFBF"/>
            </w:tcBorders>
            <w:vAlign w:val="center"/>
          </w:tcPr>
          <w:p>
            <w:r>
              <w:rPr>
                <w:rFonts w:ascii="Calibri" w:hAnsi="Calibri"/>
                <w:sz w:val="20"/>
              </w:rPr>
              <w:t>M1</w:t>
            </w:r>
          </w:p>
        </w:tc>
        <w:tc>
          <w:tcPr>
            <w:tcW w:type="dxa" w:w="4932"/>
            <w:tcBorders>
              <w:top w:val="single" w:sz="4" w:color="BFBFBF"/>
              <w:left w:val="single" w:sz="4" w:color="BFBFBF"/>
              <w:bottom w:val="single" w:sz="4" w:color="BFBFBF"/>
              <w:right w:val="single" w:sz="4" w:color="BFBFBF"/>
            </w:tcBorders>
            <w:vAlign w:val="center"/>
          </w:tcPr>
          <w:p>
            <w:r>
              <w:rPr>
                <w:rFonts w:ascii="Calibri" w:hAnsi="Calibri"/>
                <w:sz w:val="20"/>
              </w:rPr>
              <w:t>Setup environnement, architecture, modèle de données, prototype UI</w:t>
            </w:r>
          </w:p>
        </w:tc>
        <w:tc>
          <w:tcPr>
            <w:tcW w:type="dxa" w:w="3118"/>
            <w:tcBorders>
              <w:top w:val="single" w:sz="4" w:color="BFBFBF"/>
              <w:left w:val="single" w:sz="4" w:color="BFBFBF"/>
              <w:bottom w:val="single" w:sz="4" w:color="BFBFBF"/>
              <w:right w:val="single" w:sz="4" w:color="BFBFBF"/>
            </w:tcBorders>
            <w:vAlign w:val="center"/>
          </w:tcPr>
          <w:p>
            <w:r>
              <w:rPr>
                <w:rFonts w:ascii="Calibri" w:hAnsi="Calibri"/>
                <w:sz w:val="20"/>
              </w:rPr>
              <w:t>Architecture validée, prototype navigable</w:t>
            </w:r>
          </w:p>
        </w:tc>
      </w:tr>
      <w:tr>
        <w:tc>
          <w:tcPr>
            <w:tcW w:type="dxa" w:w="1020"/>
            <w:shd w:val="clear" w:color="auto" w:fill="F2F2F2"/>
            <w:tcBorders>
              <w:top w:val="single" w:sz="4" w:color="BFBFBF"/>
              <w:left w:val="single" w:sz="4" w:color="BFBFBF"/>
              <w:bottom w:val="single" w:sz="4" w:color="BFBFBF"/>
              <w:right w:val="single" w:sz="4" w:color="BFBFBF"/>
            </w:tcBorders>
            <w:vAlign w:val="center"/>
          </w:tcPr>
          <w:p>
            <w:r>
              <w:rPr>
                <w:rFonts w:ascii="Calibri" w:hAnsi="Calibri"/>
                <w:sz w:val="20"/>
              </w:rPr>
              <w:t>M2-M3</w:t>
            </w:r>
          </w:p>
        </w:tc>
        <w:tc>
          <w:tcPr>
            <w:tcW w:type="dxa" w:w="4932"/>
            <w:shd w:val="clear" w:color="auto" w:fill="F2F2F2"/>
            <w:tcBorders>
              <w:top w:val="single" w:sz="4" w:color="BFBFBF"/>
              <w:left w:val="single" w:sz="4" w:color="BFBFBF"/>
              <w:bottom w:val="single" w:sz="4" w:color="BFBFBF"/>
              <w:right w:val="single" w:sz="4" w:color="BFBFBF"/>
            </w:tcBorders>
            <w:vAlign w:val="center"/>
          </w:tcPr>
          <w:p>
            <w:r>
              <w:rPr>
                <w:rFonts w:ascii="Calibri" w:hAnsi="Calibri"/>
                <w:sz w:val="20"/>
              </w:rPr>
              <w:t>Moteur de calcul (DAG, evaluator, solveur itératif), template BTP</w:t>
            </w:r>
          </w:p>
        </w:tc>
        <w:tc>
          <w:tcPr>
            <w:tcW w:type="dxa" w:w="3118"/>
            <w:shd w:val="clear" w:color="auto" w:fill="F2F2F2"/>
            <w:tcBorders>
              <w:top w:val="single" w:sz="4" w:color="BFBFBF"/>
              <w:left w:val="single" w:sz="4" w:color="BFBFBF"/>
              <w:bottom w:val="single" w:sz="4" w:color="BFBFBF"/>
              <w:right w:val="single" w:sz="4" w:color="BFBFBF"/>
            </w:tcBorders>
            <w:vAlign w:val="center"/>
          </w:tcPr>
          <w:p>
            <w:r>
              <w:rPr>
                <w:rFonts w:ascii="Calibri" w:hAnsi="Calibri"/>
                <w:sz w:val="20"/>
              </w:rPr>
              <w:t>Moteur fonctionnel + template BTP testé</w:t>
            </w:r>
          </w:p>
        </w:tc>
      </w:tr>
      <w:tr>
        <w:tc>
          <w:tcPr>
            <w:tcW w:type="dxa" w:w="1020"/>
            <w:tcBorders>
              <w:top w:val="single" w:sz="4" w:color="BFBFBF"/>
              <w:left w:val="single" w:sz="4" w:color="BFBFBF"/>
              <w:bottom w:val="single" w:sz="4" w:color="BFBFBF"/>
              <w:right w:val="single" w:sz="4" w:color="BFBFBF"/>
            </w:tcBorders>
            <w:vAlign w:val="center"/>
          </w:tcPr>
          <w:p>
            <w:r>
              <w:rPr>
                <w:rFonts w:ascii="Calibri" w:hAnsi="Calibri"/>
                <w:sz w:val="20"/>
              </w:rPr>
              <w:t>M3-M4</w:t>
            </w:r>
          </w:p>
        </w:tc>
        <w:tc>
          <w:tcPr>
            <w:tcW w:type="dxa" w:w="4932"/>
            <w:tcBorders>
              <w:top w:val="single" w:sz="4" w:color="BFBFBF"/>
              <w:left w:val="single" w:sz="4" w:color="BFBFBF"/>
              <w:bottom w:val="single" w:sz="4" w:color="BFBFBF"/>
              <w:right w:val="single" w:sz="4" w:color="BFBFBF"/>
            </w:tcBorders>
            <w:vAlign w:val="center"/>
          </w:tcPr>
          <w:p>
            <w:r>
              <w:rPr>
                <w:rFonts w:ascii="Calibri" w:hAnsi="Calibri"/>
                <w:sz w:val="20"/>
              </w:rPr>
              <w:t>Templates Banque et Assurance CIMA, normalisation P&amp;L+Bilan+Tréso</w:t>
            </w:r>
          </w:p>
        </w:tc>
        <w:tc>
          <w:tcPr>
            <w:tcW w:type="dxa" w:w="3118"/>
            <w:tcBorders>
              <w:top w:val="single" w:sz="4" w:color="BFBFBF"/>
              <w:left w:val="single" w:sz="4" w:color="BFBFBF"/>
              <w:bottom w:val="single" w:sz="4" w:color="BFBFBF"/>
              <w:right w:val="single" w:sz="4" w:color="BFBFBF"/>
            </w:tcBorders>
            <w:vAlign w:val="center"/>
          </w:tcPr>
          <w:p>
            <w:r>
              <w:rPr>
                <w:rFonts w:ascii="Calibri" w:hAnsi="Calibri"/>
                <w:sz w:val="20"/>
              </w:rPr>
              <w:t>3 templates fonctionnels</w:t>
            </w:r>
          </w:p>
        </w:tc>
      </w:tr>
      <w:tr>
        <w:tc>
          <w:tcPr>
            <w:tcW w:type="dxa" w:w="1020"/>
            <w:shd w:val="clear" w:color="auto" w:fill="F2F2F2"/>
            <w:tcBorders>
              <w:top w:val="single" w:sz="4" w:color="BFBFBF"/>
              <w:left w:val="single" w:sz="4" w:color="BFBFBF"/>
              <w:bottom w:val="single" w:sz="4" w:color="BFBFBF"/>
              <w:right w:val="single" w:sz="4" w:color="BFBFBF"/>
            </w:tcBorders>
            <w:vAlign w:val="center"/>
          </w:tcPr>
          <w:p>
            <w:r>
              <w:rPr>
                <w:rFonts w:ascii="Calibri" w:hAnsi="Calibri"/>
                <w:sz w:val="20"/>
              </w:rPr>
              <w:t>M4-M5</w:t>
            </w:r>
          </w:p>
        </w:tc>
        <w:tc>
          <w:tcPr>
            <w:tcW w:type="dxa" w:w="4932"/>
            <w:shd w:val="clear" w:color="auto" w:fill="F2F2F2"/>
            <w:tcBorders>
              <w:top w:val="single" w:sz="4" w:color="BFBFBF"/>
              <w:left w:val="single" w:sz="4" w:color="BFBFBF"/>
              <w:bottom w:val="single" w:sz="4" w:color="BFBFBF"/>
              <w:right w:val="single" w:sz="4" w:color="BFBFBF"/>
            </w:tcBorders>
            <w:vAlign w:val="center"/>
          </w:tcPr>
          <w:p>
            <w:r>
              <w:rPr>
                <w:rFonts w:ascii="Calibri" w:hAnsi="Calibri"/>
                <w:sz w:val="20"/>
              </w:rPr>
              <w:t>Export Excel, scénarisation, multi-utilisateurs</w:t>
            </w:r>
          </w:p>
        </w:tc>
        <w:tc>
          <w:tcPr>
            <w:tcW w:type="dxa" w:w="3118"/>
            <w:shd w:val="clear" w:color="auto" w:fill="F2F2F2"/>
            <w:tcBorders>
              <w:top w:val="single" w:sz="4" w:color="BFBFBF"/>
              <w:left w:val="single" w:sz="4" w:color="BFBFBF"/>
              <w:bottom w:val="single" w:sz="4" w:color="BFBFBF"/>
              <w:right w:val="single" w:sz="4" w:color="BFBFBF"/>
            </w:tcBorders>
            <w:vAlign w:val="center"/>
          </w:tcPr>
          <w:p>
            <w:r>
              <w:rPr>
                <w:rFonts w:ascii="Calibri" w:hAnsi="Calibri"/>
                <w:sz w:val="20"/>
              </w:rPr>
              <w:t>Export Excel fidèle, 3 scénarios par projet</w:t>
            </w:r>
          </w:p>
        </w:tc>
      </w:tr>
      <w:tr>
        <w:tc>
          <w:tcPr>
            <w:tcW w:type="dxa" w:w="1020"/>
            <w:tcBorders>
              <w:top w:val="single" w:sz="4" w:color="BFBFBF"/>
              <w:left w:val="single" w:sz="4" w:color="BFBFBF"/>
              <w:bottom w:val="single" w:sz="4" w:color="BFBFBF"/>
              <w:right w:val="single" w:sz="4" w:color="BFBFBF"/>
            </w:tcBorders>
            <w:vAlign w:val="center"/>
          </w:tcPr>
          <w:p>
            <w:r>
              <w:rPr>
                <w:rFonts w:ascii="Calibri" w:hAnsi="Calibri"/>
                <w:sz w:val="20"/>
              </w:rPr>
              <w:t>M5-M6</w:t>
            </w:r>
          </w:p>
        </w:tc>
        <w:tc>
          <w:tcPr>
            <w:tcW w:type="dxa" w:w="4932"/>
            <w:tcBorders>
              <w:top w:val="single" w:sz="4" w:color="BFBFBF"/>
              <w:left w:val="single" w:sz="4" w:color="BFBFBF"/>
              <w:bottom w:val="single" w:sz="4" w:color="BFBFBF"/>
              <w:right w:val="single" w:sz="4" w:color="BFBFBF"/>
            </w:tcBorders>
            <w:vAlign w:val="center"/>
          </w:tcPr>
          <w:p>
            <w:r>
              <w:rPr>
                <w:rFonts w:ascii="Calibri" w:hAnsi="Calibri"/>
                <w:sz w:val="20"/>
              </w:rPr>
              <w:t>QA approfondie, tests métiers H&amp;C Group, documentation utilisateurs</w:t>
            </w:r>
          </w:p>
        </w:tc>
        <w:tc>
          <w:tcPr>
            <w:tcW w:type="dxa" w:w="3118"/>
            <w:tcBorders>
              <w:top w:val="single" w:sz="4" w:color="BFBFBF"/>
              <w:left w:val="single" w:sz="4" w:color="BFBFBF"/>
              <w:bottom w:val="single" w:sz="4" w:color="BFBFBF"/>
              <w:right w:val="single" w:sz="4" w:color="BFBFBF"/>
            </w:tcBorders>
            <w:vAlign w:val="center"/>
          </w:tcPr>
          <w:p>
            <w:r>
              <w:rPr>
                <w:rFonts w:ascii="Calibri" w:hAnsi="Calibri"/>
                <w:sz w:val="20"/>
              </w:rPr>
              <w:t>Outil utilisable interne H&amp;C</w:t>
            </w:r>
          </w:p>
        </w:tc>
      </w:tr>
    </w:tbl>
    <w:p>
      <w:pPr>
        <w:spacing w:after="120"/>
      </w:pPr>
    </w:p>
    <w:p>
      <w:pPr>
        <w:pStyle w:val="Heading2"/>
        <w:spacing w:before="240" w:after="120"/>
      </w:pPr>
      <w:r>
        <w:rPr>
          <w:rFonts w:ascii="Calibri" w:hAnsi="Calibri"/>
          <w:b/>
          <w:color w:val="0A2540"/>
          <w:sz w:val="30"/>
        </w:rPr>
        <w:t>7.3 Équipe minimale recommandée</w:t>
      </w:r>
    </w:p>
    <w:tbl>
      <w:tblPr>
        <w:tblW w:type="auto" w:w="0"/>
        <w:jc w:val="center"/>
        <w:tblLayout w:type="fixed"/>
        <w:tblLook w:firstColumn="1" w:firstRow="1" w:lastColumn="0" w:lastRow="0" w:noHBand="0" w:noVBand="1" w:val="04A0"/>
      </w:tblPr>
      <w:tblGrid>
        <w:gridCol w:w="3135"/>
        <w:gridCol w:w="3135"/>
        <w:gridCol w:w="3135"/>
      </w:tblGrid>
      <w:tr>
        <w:tc>
          <w:tcPr>
            <w:tcW w:type="dxa" w:w="3118"/>
            <w:shd w:val="clear" w:color="auto" w:fill="0A2540"/>
            <w:tcBorders>
              <w:top w:val="single" w:sz="4" w:color="BFBFBF"/>
              <w:left w:val="single" w:sz="4" w:color="BFBFBF"/>
              <w:bottom w:val="single" w:sz="4" w:color="BFBFBF"/>
              <w:right w:val="single" w:sz="4" w:color="BFBFBF"/>
            </w:tcBorders>
            <w:vAlign w:val="center"/>
          </w:tcPr>
          <w:p>
            <w:pPr>
              <w:jc w:val="center"/>
            </w:pPr>
            <w:r>
              <w:rPr>
                <w:rFonts w:ascii="Calibri" w:hAnsi="Calibri"/>
                <w:b/>
                <w:color w:val="FFFFFF"/>
                <w:sz w:val="20"/>
              </w:rPr>
              <w:t>Rôle</w:t>
            </w:r>
          </w:p>
        </w:tc>
        <w:tc>
          <w:tcPr>
            <w:tcW w:type="dxa" w:w="850"/>
            <w:shd w:val="clear" w:color="auto" w:fill="0A2540"/>
            <w:tcBorders>
              <w:top w:val="single" w:sz="4" w:color="BFBFBF"/>
              <w:left w:val="single" w:sz="4" w:color="BFBFBF"/>
              <w:bottom w:val="single" w:sz="4" w:color="BFBFBF"/>
              <w:right w:val="single" w:sz="4" w:color="BFBFBF"/>
            </w:tcBorders>
            <w:vAlign w:val="center"/>
          </w:tcPr>
          <w:p>
            <w:pPr>
              <w:jc w:val="center"/>
            </w:pPr>
            <w:r>
              <w:rPr>
                <w:rFonts w:ascii="Calibri" w:hAnsi="Calibri"/>
                <w:b/>
                <w:color w:val="FFFFFF"/>
                <w:sz w:val="20"/>
              </w:rPr>
              <w:t>ETP</w:t>
            </w:r>
          </w:p>
        </w:tc>
        <w:tc>
          <w:tcPr>
            <w:tcW w:type="dxa" w:w="5102"/>
            <w:shd w:val="clear" w:color="auto" w:fill="0A2540"/>
            <w:tcBorders>
              <w:top w:val="single" w:sz="4" w:color="BFBFBF"/>
              <w:left w:val="single" w:sz="4" w:color="BFBFBF"/>
              <w:bottom w:val="single" w:sz="4" w:color="BFBFBF"/>
              <w:right w:val="single" w:sz="4" w:color="BFBFBF"/>
            </w:tcBorders>
            <w:vAlign w:val="center"/>
          </w:tcPr>
          <w:p>
            <w:pPr>
              <w:jc w:val="center"/>
            </w:pPr>
            <w:r>
              <w:rPr>
                <w:rFonts w:ascii="Calibri" w:hAnsi="Calibri"/>
                <w:b/>
                <w:color w:val="FFFFFF"/>
                <w:sz w:val="20"/>
              </w:rPr>
              <w:t>Profil</w:t>
            </w:r>
          </w:p>
        </w:tc>
      </w:tr>
      <w:tr>
        <w:tc>
          <w:tcPr>
            <w:tcW w:type="dxa" w:w="3118"/>
            <w:tcBorders>
              <w:top w:val="single" w:sz="4" w:color="BFBFBF"/>
              <w:left w:val="single" w:sz="4" w:color="BFBFBF"/>
              <w:bottom w:val="single" w:sz="4" w:color="BFBFBF"/>
              <w:right w:val="single" w:sz="4" w:color="BFBFBF"/>
            </w:tcBorders>
            <w:vAlign w:val="center"/>
          </w:tcPr>
          <w:p>
            <w:r>
              <w:rPr>
                <w:rFonts w:ascii="Calibri" w:hAnsi="Calibri"/>
                <w:sz w:val="20"/>
              </w:rPr>
              <w:t>Product Owner / Chef de projet</w:t>
            </w:r>
          </w:p>
        </w:tc>
        <w:tc>
          <w:tcPr>
            <w:tcW w:type="dxa" w:w="850"/>
            <w:tcBorders>
              <w:top w:val="single" w:sz="4" w:color="BFBFBF"/>
              <w:left w:val="single" w:sz="4" w:color="BFBFBF"/>
              <w:bottom w:val="single" w:sz="4" w:color="BFBFBF"/>
              <w:right w:val="single" w:sz="4" w:color="BFBFBF"/>
            </w:tcBorders>
            <w:vAlign w:val="center"/>
          </w:tcPr>
          <w:p>
            <w:r>
              <w:rPr>
                <w:rFonts w:ascii="Calibri" w:hAnsi="Calibri"/>
                <w:sz w:val="20"/>
              </w:rPr>
              <w:t>1</w:t>
            </w:r>
          </w:p>
        </w:tc>
        <w:tc>
          <w:tcPr>
            <w:tcW w:type="dxa" w:w="5102"/>
            <w:tcBorders>
              <w:top w:val="single" w:sz="4" w:color="BFBFBF"/>
              <w:left w:val="single" w:sz="4" w:color="BFBFBF"/>
              <w:bottom w:val="single" w:sz="4" w:color="BFBFBF"/>
              <w:right w:val="single" w:sz="4" w:color="BFBFBF"/>
            </w:tcBorders>
            <w:vAlign w:val="center"/>
          </w:tcPr>
          <w:p>
            <w:r>
              <w:rPr>
                <w:rFonts w:ascii="Calibri" w:hAnsi="Calibri"/>
                <w:sz w:val="20"/>
              </w:rPr>
              <w:t>Background finance + tech, bilingue FR/EN</w:t>
            </w:r>
          </w:p>
        </w:tc>
      </w:tr>
      <w:tr>
        <w:tc>
          <w:tcPr>
            <w:tcW w:type="dxa" w:w="3118"/>
            <w:shd w:val="clear" w:color="auto" w:fill="F2F2F2"/>
            <w:tcBorders>
              <w:top w:val="single" w:sz="4" w:color="BFBFBF"/>
              <w:left w:val="single" w:sz="4" w:color="BFBFBF"/>
              <w:bottom w:val="single" w:sz="4" w:color="BFBFBF"/>
              <w:right w:val="single" w:sz="4" w:color="BFBFBF"/>
            </w:tcBorders>
            <w:vAlign w:val="center"/>
          </w:tcPr>
          <w:p>
            <w:r>
              <w:rPr>
                <w:rFonts w:ascii="Calibri" w:hAnsi="Calibri"/>
                <w:sz w:val="20"/>
              </w:rPr>
              <w:t>Lead Tech / Architecte</w:t>
            </w:r>
          </w:p>
        </w:tc>
        <w:tc>
          <w:tcPr>
            <w:tcW w:type="dxa" w:w="850"/>
            <w:shd w:val="clear" w:color="auto" w:fill="F2F2F2"/>
            <w:tcBorders>
              <w:top w:val="single" w:sz="4" w:color="BFBFBF"/>
              <w:left w:val="single" w:sz="4" w:color="BFBFBF"/>
              <w:bottom w:val="single" w:sz="4" w:color="BFBFBF"/>
              <w:right w:val="single" w:sz="4" w:color="BFBFBF"/>
            </w:tcBorders>
            <w:vAlign w:val="center"/>
          </w:tcPr>
          <w:p>
            <w:r>
              <w:rPr>
                <w:rFonts w:ascii="Calibri" w:hAnsi="Calibri"/>
                <w:sz w:val="20"/>
              </w:rPr>
              <w:t>1</w:t>
            </w:r>
          </w:p>
        </w:tc>
        <w:tc>
          <w:tcPr>
            <w:tcW w:type="dxa" w:w="5102"/>
            <w:shd w:val="clear" w:color="auto" w:fill="F2F2F2"/>
            <w:tcBorders>
              <w:top w:val="single" w:sz="4" w:color="BFBFBF"/>
              <w:left w:val="single" w:sz="4" w:color="BFBFBF"/>
              <w:bottom w:val="single" w:sz="4" w:color="BFBFBF"/>
              <w:right w:val="single" w:sz="4" w:color="BFBFBF"/>
            </w:tcBorders>
            <w:vAlign w:val="center"/>
          </w:tcPr>
          <w:p>
            <w:r>
              <w:rPr>
                <w:rFonts w:ascii="Calibri" w:hAnsi="Calibri"/>
                <w:sz w:val="20"/>
              </w:rPr>
              <w:t>Python + React, sénior, 5+ ans</w:t>
            </w:r>
          </w:p>
        </w:tc>
      </w:tr>
      <w:tr>
        <w:tc>
          <w:tcPr>
            <w:tcW w:type="dxa" w:w="3118"/>
            <w:tcBorders>
              <w:top w:val="single" w:sz="4" w:color="BFBFBF"/>
              <w:left w:val="single" w:sz="4" w:color="BFBFBF"/>
              <w:bottom w:val="single" w:sz="4" w:color="BFBFBF"/>
              <w:right w:val="single" w:sz="4" w:color="BFBFBF"/>
            </w:tcBorders>
            <w:vAlign w:val="center"/>
          </w:tcPr>
          <w:p>
            <w:r>
              <w:rPr>
                <w:rFonts w:ascii="Calibri" w:hAnsi="Calibri"/>
                <w:sz w:val="20"/>
              </w:rPr>
              <w:t>Développeur Backend Python</w:t>
            </w:r>
          </w:p>
        </w:tc>
        <w:tc>
          <w:tcPr>
            <w:tcW w:type="dxa" w:w="850"/>
            <w:tcBorders>
              <w:top w:val="single" w:sz="4" w:color="BFBFBF"/>
              <w:left w:val="single" w:sz="4" w:color="BFBFBF"/>
              <w:bottom w:val="single" w:sz="4" w:color="BFBFBF"/>
              <w:right w:val="single" w:sz="4" w:color="BFBFBF"/>
            </w:tcBorders>
            <w:vAlign w:val="center"/>
          </w:tcPr>
          <w:p>
            <w:r>
              <w:rPr>
                <w:rFonts w:ascii="Calibri" w:hAnsi="Calibri"/>
                <w:sz w:val="20"/>
              </w:rPr>
              <w:t>2</w:t>
            </w:r>
          </w:p>
        </w:tc>
        <w:tc>
          <w:tcPr>
            <w:tcW w:type="dxa" w:w="5102"/>
            <w:tcBorders>
              <w:top w:val="single" w:sz="4" w:color="BFBFBF"/>
              <w:left w:val="single" w:sz="4" w:color="BFBFBF"/>
              <w:bottom w:val="single" w:sz="4" w:color="BFBFBF"/>
              <w:right w:val="single" w:sz="4" w:color="BFBFBF"/>
            </w:tcBorders>
            <w:vAlign w:val="center"/>
          </w:tcPr>
          <w:p>
            <w:r>
              <w:rPr>
                <w:rFonts w:ascii="Calibri" w:hAnsi="Calibri"/>
                <w:sz w:val="20"/>
              </w:rPr>
              <w:t>FastAPI, PostgreSQL, calcul numérique</w:t>
            </w:r>
          </w:p>
        </w:tc>
      </w:tr>
      <w:tr>
        <w:tc>
          <w:tcPr>
            <w:tcW w:type="dxa" w:w="3118"/>
            <w:shd w:val="clear" w:color="auto" w:fill="F2F2F2"/>
            <w:tcBorders>
              <w:top w:val="single" w:sz="4" w:color="BFBFBF"/>
              <w:left w:val="single" w:sz="4" w:color="BFBFBF"/>
              <w:bottom w:val="single" w:sz="4" w:color="BFBFBF"/>
              <w:right w:val="single" w:sz="4" w:color="BFBFBF"/>
            </w:tcBorders>
            <w:vAlign w:val="center"/>
          </w:tcPr>
          <w:p>
            <w:r>
              <w:rPr>
                <w:rFonts w:ascii="Calibri" w:hAnsi="Calibri"/>
                <w:sz w:val="20"/>
              </w:rPr>
              <w:t>Développeur Frontend React</w:t>
            </w:r>
          </w:p>
        </w:tc>
        <w:tc>
          <w:tcPr>
            <w:tcW w:type="dxa" w:w="850"/>
            <w:shd w:val="clear" w:color="auto" w:fill="F2F2F2"/>
            <w:tcBorders>
              <w:top w:val="single" w:sz="4" w:color="BFBFBF"/>
              <w:left w:val="single" w:sz="4" w:color="BFBFBF"/>
              <w:bottom w:val="single" w:sz="4" w:color="BFBFBF"/>
              <w:right w:val="single" w:sz="4" w:color="BFBFBF"/>
            </w:tcBorders>
            <w:vAlign w:val="center"/>
          </w:tcPr>
          <w:p>
            <w:r>
              <w:rPr>
                <w:rFonts w:ascii="Calibri" w:hAnsi="Calibri"/>
                <w:sz w:val="20"/>
              </w:rPr>
              <w:t>1-2</w:t>
            </w:r>
          </w:p>
        </w:tc>
        <w:tc>
          <w:tcPr>
            <w:tcW w:type="dxa" w:w="5102"/>
            <w:shd w:val="clear" w:color="auto" w:fill="F2F2F2"/>
            <w:tcBorders>
              <w:top w:val="single" w:sz="4" w:color="BFBFBF"/>
              <w:left w:val="single" w:sz="4" w:color="BFBFBF"/>
              <w:bottom w:val="single" w:sz="4" w:color="BFBFBF"/>
              <w:right w:val="single" w:sz="4" w:color="BFBFBF"/>
            </w:tcBorders>
            <w:vAlign w:val="center"/>
          </w:tcPr>
          <w:p>
            <w:r>
              <w:rPr>
                <w:rFonts w:ascii="Calibri" w:hAnsi="Calibri"/>
                <w:sz w:val="20"/>
              </w:rPr>
              <w:t>React + TypeScript, design UX</w:t>
            </w:r>
          </w:p>
        </w:tc>
      </w:tr>
      <w:tr>
        <w:tc>
          <w:tcPr>
            <w:tcW w:type="dxa" w:w="3118"/>
            <w:tcBorders>
              <w:top w:val="single" w:sz="4" w:color="BFBFBF"/>
              <w:left w:val="single" w:sz="4" w:color="BFBFBF"/>
              <w:bottom w:val="single" w:sz="4" w:color="BFBFBF"/>
              <w:right w:val="single" w:sz="4" w:color="BFBFBF"/>
            </w:tcBorders>
            <w:vAlign w:val="center"/>
          </w:tcPr>
          <w:p>
            <w:r>
              <w:rPr>
                <w:rFonts w:ascii="Calibri" w:hAnsi="Calibri"/>
                <w:sz w:val="20"/>
              </w:rPr>
              <w:t>Expert métier sectoriel</w:t>
            </w:r>
          </w:p>
        </w:tc>
        <w:tc>
          <w:tcPr>
            <w:tcW w:type="dxa" w:w="850"/>
            <w:tcBorders>
              <w:top w:val="single" w:sz="4" w:color="BFBFBF"/>
              <w:left w:val="single" w:sz="4" w:color="BFBFBF"/>
              <w:bottom w:val="single" w:sz="4" w:color="BFBFBF"/>
              <w:right w:val="single" w:sz="4" w:color="BFBFBF"/>
            </w:tcBorders>
            <w:vAlign w:val="center"/>
          </w:tcPr>
          <w:p>
            <w:r>
              <w:rPr>
                <w:rFonts w:ascii="Calibri" w:hAnsi="Calibri"/>
                <w:sz w:val="20"/>
              </w:rPr>
              <w:t>0,5-1</w:t>
            </w:r>
          </w:p>
        </w:tc>
        <w:tc>
          <w:tcPr>
            <w:tcW w:type="dxa" w:w="5102"/>
            <w:tcBorders>
              <w:top w:val="single" w:sz="4" w:color="BFBFBF"/>
              <w:left w:val="single" w:sz="4" w:color="BFBFBF"/>
              <w:bottom w:val="single" w:sz="4" w:color="BFBFBF"/>
              <w:right w:val="single" w:sz="4" w:color="BFBFBF"/>
            </w:tcBorders>
            <w:vAlign w:val="center"/>
          </w:tcPr>
          <w:p>
            <w:r>
              <w:rPr>
                <w:rFonts w:ascii="Calibri" w:hAnsi="Calibri"/>
                <w:sz w:val="20"/>
              </w:rPr>
              <w:t>Domaine BTP / Banque / Assurance</w:t>
            </w:r>
          </w:p>
        </w:tc>
      </w:tr>
      <w:tr>
        <w:tc>
          <w:tcPr>
            <w:tcW w:type="dxa" w:w="3118"/>
            <w:shd w:val="clear" w:color="auto" w:fill="F2F2F2"/>
            <w:tcBorders>
              <w:top w:val="single" w:sz="4" w:color="BFBFBF"/>
              <w:left w:val="single" w:sz="4" w:color="BFBFBF"/>
              <w:bottom w:val="single" w:sz="4" w:color="BFBFBF"/>
              <w:right w:val="single" w:sz="4" w:color="BFBFBF"/>
            </w:tcBorders>
            <w:vAlign w:val="center"/>
          </w:tcPr>
          <w:p>
            <w:r>
              <w:rPr>
                <w:rFonts w:ascii="Calibri" w:hAnsi="Calibri"/>
                <w:sz w:val="20"/>
              </w:rPr>
              <w:t>DevOps / SRE</w:t>
            </w:r>
          </w:p>
        </w:tc>
        <w:tc>
          <w:tcPr>
            <w:tcW w:type="dxa" w:w="850"/>
            <w:shd w:val="clear" w:color="auto" w:fill="F2F2F2"/>
            <w:tcBorders>
              <w:top w:val="single" w:sz="4" w:color="BFBFBF"/>
              <w:left w:val="single" w:sz="4" w:color="BFBFBF"/>
              <w:bottom w:val="single" w:sz="4" w:color="BFBFBF"/>
              <w:right w:val="single" w:sz="4" w:color="BFBFBF"/>
            </w:tcBorders>
            <w:vAlign w:val="center"/>
          </w:tcPr>
          <w:p>
            <w:r>
              <w:rPr>
                <w:rFonts w:ascii="Calibri" w:hAnsi="Calibri"/>
                <w:sz w:val="20"/>
              </w:rPr>
              <w:t>0,5</w:t>
            </w:r>
          </w:p>
        </w:tc>
        <w:tc>
          <w:tcPr>
            <w:tcW w:type="dxa" w:w="5102"/>
            <w:shd w:val="clear" w:color="auto" w:fill="F2F2F2"/>
            <w:tcBorders>
              <w:top w:val="single" w:sz="4" w:color="BFBFBF"/>
              <w:left w:val="single" w:sz="4" w:color="BFBFBF"/>
              <w:bottom w:val="single" w:sz="4" w:color="BFBFBF"/>
              <w:right w:val="single" w:sz="4" w:color="BFBFBF"/>
            </w:tcBorders>
            <w:vAlign w:val="center"/>
          </w:tcPr>
          <w:p>
            <w:r>
              <w:rPr>
                <w:rFonts w:ascii="Calibri" w:hAnsi="Calibri"/>
                <w:sz w:val="20"/>
              </w:rPr>
              <w:t>Docker, K8s, CI/CD</w:t>
            </w:r>
          </w:p>
        </w:tc>
      </w:tr>
      <w:tr>
        <w:tc>
          <w:tcPr>
            <w:tcW w:type="dxa" w:w="3118"/>
            <w:tcBorders>
              <w:top w:val="single" w:sz="4" w:color="BFBFBF"/>
              <w:left w:val="single" w:sz="4" w:color="BFBFBF"/>
              <w:bottom w:val="single" w:sz="4" w:color="BFBFBF"/>
              <w:right w:val="single" w:sz="4" w:color="BFBFBF"/>
            </w:tcBorders>
            <w:vAlign w:val="center"/>
          </w:tcPr>
          <w:p>
            <w:r>
              <w:rPr>
                <w:rFonts w:ascii="Calibri" w:hAnsi="Calibri"/>
                <w:sz w:val="20"/>
              </w:rPr>
              <w:t>QA / Testeur</w:t>
            </w:r>
          </w:p>
        </w:tc>
        <w:tc>
          <w:tcPr>
            <w:tcW w:type="dxa" w:w="850"/>
            <w:tcBorders>
              <w:top w:val="single" w:sz="4" w:color="BFBFBF"/>
              <w:left w:val="single" w:sz="4" w:color="BFBFBF"/>
              <w:bottom w:val="single" w:sz="4" w:color="BFBFBF"/>
              <w:right w:val="single" w:sz="4" w:color="BFBFBF"/>
            </w:tcBorders>
            <w:vAlign w:val="center"/>
          </w:tcPr>
          <w:p>
            <w:r>
              <w:rPr>
                <w:rFonts w:ascii="Calibri" w:hAnsi="Calibri"/>
                <w:sz w:val="20"/>
              </w:rPr>
              <w:t>0,5</w:t>
            </w:r>
          </w:p>
        </w:tc>
        <w:tc>
          <w:tcPr>
            <w:tcW w:type="dxa" w:w="5102"/>
            <w:tcBorders>
              <w:top w:val="single" w:sz="4" w:color="BFBFBF"/>
              <w:left w:val="single" w:sz="4" w:color="BFBFBF"/>
              <w:bottom w:val="single" w:sz="4" w:color="BFBFBF"/>
              <w:right w:val="single" w:sz="4" w:color="BFBFBF"/>
            </w:tcBorders>
            <w:vAlign w:val="center"/>
          </w:tcPr>
          <w:p>
            <w:r>
              <w:rPr>
                <w:rFonts w:ascii="Calibri" w:hAnsi="Calibri"/>
                <w:sz w:val="20"/>
              </w:rPr>
              <w:t>Test automatisé, données financières</w:t>
            </w:r>
          </w:p>
        </w:tc>
      </w:tr>
    </w:tbl>
    <w:p>
      <w:pPr>
        <w:spacing w:after="120"/>
      </w:pPr>
    </w:p>
    <w:p>
      <w:pPr>
        <w:pStyle w:val="Heading2"/>
        <w:spacing w:before="240" w:after="120"/>
      </w:pPr>
      <w:r>
        <w:rPr>
          <w:rFonts w:ascii="Calibri" w:hAnsi="Calibri"/>
          <w:b/>
          <w:color w:val="0A2540"/>
          <w:sz w:val="30"/>
        </w:rPr>
        <w:t>7.4 Critères de succès de la phase MVP</w:t>
      </w:r>
    </w:p>
    <w:p>
      <w:pPr>
        <w:pStyle w:val="ListBullet"/>
        <w:spacing w:after="60"/>
        <w:ind w:left="340"/>
      </w:pPr>
      <w:r>
        <w:rPr>
          <w:rFonts w:ascii="Calibri" w:hAnsi="Calibri"/>
          <w:sz w:val="22"/>
        </w:rPr>
        <w:t>3 modèles fonctionnels (BTP, Banque, Assurance CIMA) avec validation par experts métiers H&amp;C</w:t>
      </w:r>
    </w:p>
    <w:p>
      <w:pPr>
        <w:pStyle w:val="ListBullet"/>
        <w:spacing w:after="60"/>
        <w:ind w:left="340"/>
      </w:pPr>
      <w:r>
        <w:rPr>
          <w:rFonts w:ascii="Calibri" w:hAnsi="Calibri"/>
          <w:sz w:val="22"/>
        </w:rPr>
        <w:t>Calcul d'un modèle 5 ans en moins de 2 secondes pour les cas standards</w:t>
      </w:r>
    </w:p>
    <w:p>
      <w:pPr>
        <w:pStyle w:val="ListBullet"/>
        <w:spacing w:after="60"/>
        <w:ind w:left="340"/>
      </w:pPr>
      <w:r>
        <w:rPr>
          <w:rFonts w:ascii="Calibri" w:hAnsi="Calibri"/>
          <w:sz w:val="22"/>
        </w:rPr>
        <w:t>Export Excel fidèle aux résultats du moteur natif (écart &lt; 10⁻⁶)</w:t>
      </w:r>
    </w:p>
    <w:p>
      <w:pPr>
        <w:pStyle w:val="ListBullet"/>
        <w:spacing w:after="60"/>
        <w:ind w:left="340"/>
      </w:pPr>
      <w:r>
        <w:rPr>
          <w:rFonts w:ascii="Calibri" w:hAnsi="Calibri"/>
          <w:sz w:val="22"/>
        </w:rPr>
        <w:t>Couverture de tests automatisés &gt; 80% sur le moteur de calcul</w:t>
      </w:r>
    </w:p>
    <w:p>
      <w:pPr>
        <w:pStyle w:val="ListBullet"/>
        <w:spacing w:after="60"/>
        <w:ind w:left="340"/>
      </w:pPr>
      <w:r>
        <w:rPr>
          <w:rFonts w:ascii="Calibri" w:hAnsi="Calibri"/>
          <w:sz w:val="22"/>
        </w:rPr>
        <w:t>Documentation utilisateur opérationnelle (guide démarrage, vidéos tutoriels)</w:t>
      </w:r>
    </w:p>
    <w:p>
      <w:pPr>
        <w:pStyle w:val="ListBullet"/>
        <w:spacing w:after="60"/>
        <w:ind w:left="340"/>
      </w:pPr>
      <w:r>
        <w:rPr>
          <w:rFonts w:ascii="Calibri" w:hAnsi="Calibri"/>
          <w:sz w:val="22"/>
        </w:rPr>
        <w:t>Premiers utilisateurs internes H&amp;C Group (Agiltym, NSIA) en exploitation effective</w:t>
      </w:r>
    </w:p>
    <w:p>
      <w:r>
        <w:br w:type="page"/>
      </w:r>
    </w:p>
    <w:p>
      <w:pPr>
        <w:pStyle w:val="Heading1"/>
        <w:spacing w:before="240" w:after="120"/>
      </w:pPr>
      <w:r>
        <w:rPr>
          <w:rFonts w:ascii="Calibri" w:hAnsi="Calibri"/>
          <w:b/>
          <w:color w:val="0A2540"/>
          <w:sz w:val="36"/>
        </w:rPr>
        <w:t>8. Annexes</w:t>
      </w:r>
    </w:p>
    <w:p>
      <w:pPr>
        <w:pStyle w:val="Heading2"/>
        <w:spacing w:before="240" w:after="120"/>
      </w:pPr>
      <w:r>
        <w:rPr>
          <w:rFonts w:ascii="Calibri" w:hAnsi="Calibri"/>
          <w:b/>
          <w:color w:val="0A2540"/>
          <w:sz w:val="30"/>
        </w:rPr>
        <w:t>8.1 Glossaire</w:t>
      </w:r>
    </w:p>
    <w:tbl>
      <w:tblPr>
        <w:tblW w:type="auto" w:w="0"/>
        <w:jc w:val="center"/>
        <w:tblLayout w:type="fixed"/>
        <w:tblLook w:firstColumn="1" w:firstRow="1" w:lastColumn="0" w:lastRow="0" w:noHBand="0" w:noVBand="1" w:val="04A0"/>
      </w:tblPr>
      <w:tblGrid>
        <w:gridCol w:w="4703"/>
        <w:gridCol w:w="4703"/>
      </w:tblGrid>
      <w:tr>
        <w:tc>
          <w:tcPr>
            <w:tcW w:type="dxa" w:w="1984"/>
            <w:shd w:val="clear" w:color="auto" w:fill="0A2540"/>
            <w:tcBorders>
              <w:top w:val="single" w:sz="4" w:color="BFBFBF"/>
              <w:left w:val="single" w:sz="4" w:color="BFBFBF"/>
              <w:bottom w:val="single" w:sz="4" w:color="BFBFBF"/>
              <w:right w:val="single" w:sz="4" w:color="BFBFBF"/>
            </w:tcBorders>
            <w:vAlign w:val="center"/>
          </w:tcPr>
          <w:p>
            <w:pPr>
              <w:jc w:val="center"/>
            </w:pPr>
            <w:r>
              <w:rPr>
                <w:rFonts w:ascii="Calibri" w:hAnsi="Calibri"/>
                <w:b/>
                <w:color w:val="FFFFFF"/>
                <w:sz w:val="20"/>
              </w:rPr>
              <w:t>Terme</w:t>
            </w:r>
          </w:p>
        </w:tc>
        <w:tc>
          <w:tcPr>
            <w:tcW w:type="dxa" w:w="7087"/>
            <w:shd w:val="clear" w:color="auto" w:fill="0A2540"/>
            <w:tcBorders>
              <w:top w:val="single" w:sz="4" w:color="BFBFBF"/>
              <w:left w:val="single" w:sz="4" w:color="BFBFBF"/>
              <w:bottom w:val="single" w:sz="4" w:color="BFBFBF"/>
              <w:right w:val="single" w:sz="4" w:color="BFBFBF"/>
            </w:tcBorders>
            <w:vAlign w:val="center"/>
          </w:tcPr>
          <w:p>
            <w:pPr>
              <w:jc w:val="center"/>
            </w:pPr>
            <w:r>
              <w:rPr>
                <w:rFonts w:ascii="Calibri" w:hAnsi="Calibri"/>
                <w:b/>
                <w:color w:val="FFFFFF"/>
                <w:sz w:val="20"/>
              </w:rPr>
              <w:t>Définition</w:t>
            </w:r>
          </w:p>
        </w:tc>
      </w:tr>
      <w:tr>
        <w:tc>
          <w:tcPr>
            <w:tcW w:type="dxa" w:w="1984"/>
            <w:tcBorders>
              <w:top w:val="single" w:sz="4" w:color="BFBFBF"/>
              <w:left w:val="single" w:sz="4" w:color="BFBFBF"/>
              <w:bottom w:val="single" w:sz="4" w:color="BFBFBF"/>
              <w:right w:val="single" w:sz="4" w:color="BFBFBF"/>
            </w:tcBorders>
            <w:vAlign w:val="center"/>
          </w:tcPr>
          <w:p>
            <w:r>
              <w:rPr>
                <w:rFonts w:ascii="Calibri" w:hAnsi="Calibri"/>
                <w:sz w:val="20"/>
              </w:rPr>
              <w:t>AMO</w:t>
            </w:r>
          </w:p>
        </w:tc>
        <w:tc>
          <w:tcPr>
            <w:tcW w:type="dxa" w:w="7087"/>
            <w:tcBorders>
              <w:top w:val="single" w:sz="4" w:color="BFBFBF"/>
              <w:left w:val="single" w:sz="4" w:color="BFBFBF"/>
              <w:bottom w:val="single" w:sz="4" w:color="BFBFBF"/>
              <w:right w:val="single" w:sz="4" w:color="BFBFBF"/>
            </w:tcBorders>
            <w:vAlign w:val="center"/>
          </w:tcPr>
          <w:p>
            <w:r>
              <w:rPr>
                <w:rFonts w:ascii="Calibri" w:hAnsi="Calibri"/>
                <w:sz w:val="20"/>
              </w:rPr>
              <w:t>Assurance Maladie Obligatoire — régime de couverture santé universelle (en émergence)</w:t>
            </w:r>
          </w:p>
        </w:tc>
      </w:tr>
      <w:tr>
        <w:tc>
          <w:tcPr>
            <w:tcW w:type="dxa" w:w="1984"/>
            <w:shd w:val="clear" w:color="auto" w:fill="F2F2F2"/>
            <w:tcBorders>
              <w:top w:val="single" w:sz="4" w:color="BFBFBF"/>
              <w:left w:val="single" w:sz="4" w:color="BFBFBF"/>
              <w:bottom w:val="single" w:sz="4" w:color="BFBFBF"/>
              <w:right w:val="single" w:sz="4" w:color="BFBFBF"/>
            </w:tcBorders>
            <w:vAlign w:val="center"/>
          </w:tcPr>
          <w:p>
            <w:r>
              <w:rPr>
                <w:rFonts w:ascii="Calibri" w:hAnsi="Calibri"/>
                <w:sz w:val="20"/>
              </w:rPr>
              <w:t>ARR</w:t>
            </w:r>
          </w:p>
        </w:tc>
        <w:tc>
          <w:tcPr>
            <w:tcW w:type="dxa" w:w="7087"/>
            <w:shd w:val="clear" w:color="auto" w:fill="F2F2F2"/>
            <w:tcBorders>
              <w:top w:val="single" w:sz="4" w:color="BFBFBF"/>
              <w:left w:val="single" w:sz="4" w:color="BFBFBF"/>
              <w:bottom w:val="single" w:sz="4" w:color="BFBFBF"/>
              <w:right w:val="single" w:sz="4" w:color="BFBFBF"/>
            </w:tcBorders>
            <w:vAlign w:val="center"/>
          </w:tcPr>
          <w:p>
            <w:r>
              <w:rPr>
                <w:rFonts w:ascii="Calibri" w:hAnsi="Calibri"/>
                <w:sz w:val="20"/>
              </w:rPr>
              <w:t>Annual Recurring Revenue — chiffre d'affaires annuel récurrent (SaaS)</w:t>
            </w:r>
          </w:p>
        </w:tc>
      </w:tr>
      <w:tr>
        <w:tc>
          <w:tcPr>
            <w:tcW w:type="dxa" w:w="1984"/>
            <w:tcBorders>
              <w:top w:val="single" w:sz="4" w:color="BFBFBF"/>
              <w:left w:val="single" w:sz="4" w:color="BFBFBF"/>
              <w:bottom w:val="single" w:sz="4" w:color="BFBFBF"/>
              <w:right w:val="single" w:sz="4" w:color="BFBFBF"/>
            </w:tcBorders>
            <w:vAlign w:val="center"/>
          </w:tcPr>
          <w:p>
            <w:r>
              <w:rPr>
                <w:rFonts w:ascii="Calibri" w:hAnsi="Calibri"/>
                <w:sz w:val="20"/>
              </w:rPr>
              <w:t>BCEAO</w:t>
            </w:r>
          </w:p>
        </w:tc>
        <w:tc>
          <w:tcPr>
            <w:tcW w:type="dxa" w:w="7087"/>
            <w:tcBorders>
              <w:top w:val="single" w:sz="4" w:color="BFBFBF"/>
              <w:left w:val="single" w:sz="4" w:color="BFBFBF"/>
              <w:bottom w:val="single" w:sz="4" w:color="BFBFBF"/>
              <w:right w:val="single" w:sz="4" w:color="BFBFBF"/>
            </w:tcBorders>
            <w:vAlign w:val="center"/>
          </w:tcPr>
          <w:p>
            <w:r>
              <w:rPr>
                <w:rFonts w:ascii="Calibri" w:hAnsi="Calibri"/>
                <w:sz w:val="20"/>
              </w:rPr>
              <w:t>Banque Centrale des États de l'Afrique de l'Ouest (zone UEMOA)</w:t>
            </w:r>
          </w:p>
        </w:tc>
      </w:tr>
      <w:tr>
        <w:tc>
          <w:tcPr>
            <w:tcW w:type="dxa" w:w="1984"/>
            <w:shd w:val="clear" w:color="auto" w:fill="F2F2F2"/>
            <w:tcBorders>
              <w:top w:val="single" w:sz="4" w:color="BFBFBF"/>
              <w:left w:val="single" w:sz="4" w:color="BFBFBF"/>
              <w:bottom w:val="single" w:sz="4" w:color="BFBFBF"/>
              <w:right w:val="single" w:sz="4" w:color="BFBFBF"/>
            </w:tcBorders>
            <w:vAlign w:val="center"/>
          </w:tcPr>
          <w:p>
            <w:r>
              <w:rPr>
                <w:rFonts w:ascii="Calibri" w:hAnsi="Calibri"/>
                <w:sz w:val="20"/>
              </w:rPr>
              <w:t>BEAC</w:t>
            </w:r>
          </w:p>
        </w:tc>
        <w:tc>
          <w:tcPr>
            <w:tcW w:type="dxa" w:w="7087"/>
            <w:shd w:val="clear" w:color="auto" w:fill="F2F2F2"/>
            <w:tcBorders>
              <w:top w:val="single" w:sz="4" w:color="BFBFBF"/>
              <w:left w:val="single" w:sz="4" w:color="BFBFBF"/>
              <w:bottom w:val="single" w:sz="4" w:color="BFBFBF"/>
              <w:right w:val="single" w:sz="4" w:color="BFBFBF"/>
            </w:tcBorders>
            <w:vAlign w:val="center"/>
          </w:tcPr>
          <w:p>
            <w:r>
              <w:rPr>
                <w:rFonts w:ascii="Calibri" w:hAnsi="Calibri"/>
                <w:sz w:val="20"/>
              </w:rPr>
              <w:t>Banque des États de l'Afrique Centrale (zone CEMAC)</w:t>
            </w:r>
          </w:p>
        </w:tc>
      </w:tr>
      <w:tr>
        <w:tc>
          <w:tcPr>
            <w:tcW w:type="dxa" w:w="1984"/>
            <w:tcBorders>
              <w:top w:val="single" w:sz="4" w:color="BFBFBF"/>
              <w:left w:val="single" w:sz="4" w:color="BFBFBF"/>
              <w:bottom w:val="single" w:sz="4" w:color="BFBFBF"/>
              <w:right w:val="single" w:sz="4" w:color="BFBFBF"/>
            </w:tcBorders>
            <w:vAlign w:val="center"/>
          </w:tcPr>
          <w:p>
            <w:r>
              <w:rPr>
                <w:rFonts w:ascii="Calibri" w:hAnsi="Calibri"/>
                <w:sz w:val="20"/>
              </w:rPr>
              <w:t>BFR</w:t>
            </w:r>
          </w:p>
        </w:tc>
        <w:tc>
          <w:tcPr>
            <w:tcW w:type="dxa" w:w="7087"/>
            <w:tcBorders>
              <w:top w:val="single" w:sz="4" w:color="BFBFBF"/>
              <w:left w:val="single" w:sz="4" w:color="BFBFBF"/>
              <w:bottom w:val="single" w:sz="4" w:color="BFBFBF"/>
              <w:right w:val="single" w:sz="4" w:color="BFBFBF"/>
            </w:tcBorders>
            <w:vAlign w:val="center"/>
          </w:tcPr>
          <w:p>
            <w:r>
              <w:rPr>
                <w:rFonts w:ascii="Calibri" w:hAnsi="Calibri"/>
                <w:sz w:val="20"/>
              </w:rPr>
              <w:t>Besoin en Fonds de Roulement — écart entre besoins et ressources d'exploitation</w:t>
            </w:r>
          </w:p>
        </w:tc>
      </w:tr>
      <w:tr>
        <w:tc>
          <w:tcPr>
            <w:tcW w:type="dxa" w:w="1984"/>
            <w:shd w:val="clear" w:color="auto" w:fill="F2F2F2"/>
            <w:tcBorders>
              <w:top w:val="single" w:sz="4" w:color="BFBFBF"/>
              <w:left w:val="single" w:sz="4" w:color="BFBFBF"/>
              <w:bottom w:val="single" w:sz="4" w:color="BFBFBF"/>
              <w:right w:val="single" w:sz="4" w:color="BFBFBF"/>
            </w:tcBorders>
            <w:vAlign w:val="center"/>
          </w:tcPr>
          <w:p>
            <w:r>
              <w:rPr>
                <w:rFonts w:ascii="Calibri" w:hAnsi="Calibri"/>
                <w:sz w:val="20"/>
              </w:rPr>
              <w:t>CAC</w:t>
            </w:r>
          </w:p>
        </w:tc>
        <w:tc>
          <w:tcPr>
            <w:tcW w:type="dxa" w:w="7087"/>
            <w:shd w:val="clear" w:color="auto" w:fill="F2F2F2"/>
            <w:tcBorders>
              <w:top w:val="single" w:sz="4" w:color="BFBFBF"/>
              <w:left w:val="single" w:sz="4" w:color="BFBFBF"/>
              <w:bottom w:val="single" w:sz="4" w:color="BFBFBF"/>
              <w:right w:val="single" w:sz="4" w:color="BFBFBF"/>
            </w:tcBorders>
            <w:vAlign w:val="center"/>
          </w:tcPr>
          <w:p>
            <w:r>
              <w:rPr>
                <w:rFonts w:ascii="Calibri" w:hAnsi="Calibri"/>
                <w:sz w:val="20"/>
              </w:rPr>
              <w:t>Customer Acquisition Cost — coût d'acquisition client</w:t>
            </w:r>
          </w:p>
        </w:tc>
      </w:tr>
      <w:tr>
        <w:tc>
          <w:tcPr>
            <w:tcW w:type="dxa" w:w="1984"/>
            <w:tcBorders>
              <w:top w:val="single" w:sz="4" w:color="BFBFBF"/>
              <w:left w:val="single" w:sz="4" w:color="BFBFBF"/>
              <w:bottom w:val="single" w:sz="4" w:color="BFBFBF"/>
              <w:right w:val="single" w:sz="4" w:color="BFBFBF"/>
            </w:tcBorders>
            <w:vAlign w:val="center"/>
          </w:tcPr>
          <w:p>
            <w:r>
              <w:rPr>
                <w:rFonts w:ascii="Calibri" w:hAnsi="Calibri"/>
                <w:sz w:val="20"/>
              </w:rPr>
              <w:t>CAMV</w:t>
            </w:r>
          </w:p>
        </w:tc>
        <w:tc>
          <w:tcPr>
            <w:tcW w:type="dxa" w:w="7087"/>
            <w:tcBorders>
              <w:top w:val="single" w:sz="4" w:color="BFBFBF"/>
              <w:left w:val="single" w:sz="4" w:color="BFBFBF"/>
              <w:bottom w:val="single" w:sz="4" w:color="BFBFBF"/>
              <w:right w:val="single" w:sz="4" w:color="BFBFBF"/>
            </w:tcBorders>
            <w:vAlign w:val="center"/>
          </w:tcPr>
          <w:p>
            <w:r>
              <w:rPr>
                <w:rFonts w:ascii="Calibri" w:hAnsi="Calibri"/>
                <w:sz w:val="20"/>
              </w:rPr>
              <w:t>Coût d'Achat des Marchandises Vendues</w:t>
            </w:r>
          </w:p>
        </w:tc>
      </w:tr>
      <w:tr>
        <w:tc>
          <w:tcPr>
            <w:tcW w:type="dxa" w:w="1984"/>
            <w:shd w:val="clear" w:color="auto" w:fill="F2F2F2"/>
            <w:tcBorders>
              <w:top w:val="single" w:sz="4" w:color="BFBFBF"/>
              <w:left w:val="single" w:sz="4" w:color="BFBFBF"/>
              <w:bottom w:val="single" w:sz="4" w:color="BFBFBF"/>
              <w:right w:val="single" w:sz="4" w:color="BFBFBF"/>
            </w:tcBorders>
            <w:vAlign w:val="center"/>
          </w:tcPr>
          <w:p>
            <w:r>
              <w:rPr>
                <w:rFonts w:ascii="Calibri" w:hAnsi="Calibri"/>
                <w:sz w:val="20"/>
              </w:rPr>
              <w:t>CAR</w:t>
            </w:r>
          </w:p>
        </w:tc>
        <w:tc>
          <w:tcPr>
            <w:tcW w:type="dxa" w:w="7087"/>
            <w:shd w:val="clear" w:color="auto" w:fill="F2F2F2"/>
            <w:tcBorders>
              <w:top w:val="single" w:sz="4" w:color="BFBFBF"/>
              <w:left w:val="single" w:sz="4" w:color="BFBFBF"/>
              <w:bottom w:val="single" w:sz="4" w:color="BFBFBF"/>
              <w:right w:val="single" w:sz="4" w:color="BFBFBF"/>
            </w:tcBorders>
            <w:vAlign w:val="center"/>
          </w:tcPr>
          <w:p>
            <w:r>
              <w:rPr>
                <w:rFonts w:ascii="Calibri" w:hAnsi="Calibri"/>
                <w:sz w:val="20"/>
              </w:rPr>
              <w:t>Capital Adequacy Ratio — ratio d'adéquation des fonds propres (banque)</w:t>
            </w:r>
          </w:p>
        </w:tc>
      </w:tr>
      <w:tr>
        <w:tc>
          <w:tcPr>
            <w:tcW w:type="dxa" w:w="1984"/>
            <w:tcBorders>
              <w:top w:val="single" w:sz="4" w:color="BFBFBF"/>
              <w:left w:val="single" w:sz="4" w:color="BFBFBF"/>
              <w:bottom w:val="single" w:sz="4" w:color="BFBFBF"/>
              <w:right w:val="single" w:sz="4" w:color="BFBFBF"/>
            </w:tcBorders>
            <w:vAlign w:val="center"/>
          </w:tcPr>
          <w:p>
            <w:r>
              <w:rPr>
                <w:rFonts w:ascii="Calibri" w:hAnsi="Calibri"/>
                <w:sz w:val="20"/>
              </w:rPr>
              <w:t>CET1</w:t>
            </w:r>
          </w:p>
        </w:tc>
        <w:tc>
          <w:tcPr>
            <w:tcW w:type="dxa" w:w="7087"/>
            <w:tcBorders>
              <w:top w:val="single" w:sz="4" w:color="BFBFBF"/>
              <w:left w:val="single" w:sz="4" w:color="BFBFBF"/>
              <w:bottom w:val="single" w:sz="4" w:color="BFBFBF"/>
              <w:right w:val="single" w:sz="4" w:color="BFBFBF"/>
            </w:tcBorders>
            <w:vAlign w:val="center"/>
          </w:tcPr>
          <w:p>
            <w:r>
              <w:rPr>
                <w:rFonts w:ascii="Calibri" w:hAnsi="Calibri"/>
                <w:sz w:val="20"/>
              </w:rPr>
              <w:t>Common Equity Tier 1 — fonds propres durs (Bâle III)</w:t>
            </w:r>
          </w:p>
        </w:tc>
      </w:tr>
      <w:tr>
        <w:tc>
          <w:tcPr>
            <w:tcW w:type="dxa" w:w="1984"/>
            <w:shd w:val="clear" w:color="auto" w:fill="F2F2F2"/>
            <w:tcBorders>
              <w:top w:val="single" w:sz="4" w:color="BFBFBF"/>
              <w:left w:val="single" w:sz="4" w:color="BFBFBF"/>
              <w:bottom w:val="single" w:sz="4" w:color="BFBFBF"/>
              <w:right w:val="single" w:sz="4" w:color="BFBFBF"/>
            </w:tcBorders>
            <w:vAlign w:val="center"/>
          </w:tcPr>
          <w:p>
            <w:r>
              <w:rPr>
                <w:rFonts w:ascii="Calibri" w:hAnsi="Calibri"/>
                <w:sz w:val="20"/>
              </w:rPr>
              <w:t>CIMA</w:t>
            </w:r>
          </w:p>
        </w:tc>
        <w:tc>
          <w:tcPr>
            <w:tcW w:type="dxa" w:w="7087"/>
            <w:shd w:val="clear" w:color="auto" w:fill="F2F2F2"/>
            <w:tcBorders>
              <w:top w:val="single" w:sz="4" w:color="BFBFBF"/>
              <w:left w:val="single" w:sz="4" w:color="BFBFBF"/>
              <w:bottom w:val="single" w:sz="4" w:color="BFBFBF"/>
              <w:right w:val="single" w:sz="4" w:color="BFBFBF"/>
            </w:tcBorders>
            <w:vAlign w:val="center"/>
          </w:tcPr>
          <w:p>
            <w:r>
              <w:rPr>
                <w:rFonts w:ascii="Calibri" w:hAnsi="Calibri"/>
                <w:sz w:val="20"/>
              </w:rPr>
              <w:t>Conférence Interafricaine des Marchés d'Assurances</w:t>
            </w:r>
          </w:p>
        </w:tc>
      </w:tr>
      <w:tr>
        <w:tc>
          <w:tcPr>
            <w:tcW w:type="dxa" w:w="1984"/>
            <w:tcBorders>
              <w:top w:val="single" w:sz="4" w:color="BFBFBF"/>
              <w:left w:val="single" w:sz="4" w:color="BFBFBF"/>
              <w:bottom w:val="single" w:sz="4" w:color="BFBFBF"/>
              <w:right w:val="single" w:sz="4" w:color="BFBFBF"/>
            </w:tcBorders>
            <w:vAlign w:val="center"/>
          </w:tcPr>
          <w:p>
            <w:r>
              <w:rPr>
                <w:rFonts w:ascii="Calibri" w:hAnsi="Calibri"/>
                <w:sz w:val="20"/>
              </w:rPr>
              <w:t>COBAC</w:t>
            </w:r>
          </w:p>
        </w:tc>
        <w:tc>
          <w:tcPr>
            <w:tcW w:type="dxa" w:w="7087"/>
            <w:tcBorders>
              <w:top w:val="single" w:sz="4" w:color="BFBFBF"/>
              <w:left w:val="single" w:sz="4" w:color="BFBFBF"/>
              <w:bottom w:val="single" w:sz="4" w:color="BFBFBF"/>
              <w:right w:val="single" w:sz="4" w:color="BFBFBF"/>
            </w:tcBorders>
            <w:vAlign w:val="center"/>
          </w:tcPr>
          <w:p>
            <w:r>
              <w:rPr>
                <w:rFonts w:ascii="Calibri" w:hAnsi="Calibri"/>
                <w:sz w:val="20"/>
              </w:rPr>
              <w:t>Commission Bancaire de l'Afrique Centrale</w:t>
            </w:r>
          </w:p>
        </w:tc>
      </w:tr>
      <w:tr>
        <w:tc>
          <w:tcPr>
            <w:tcW w:type="dxa" w:w="1984"/>
            <w:shd w:val="clear" w:color="auto" w:fill="F2F2F2"/>
            <w:tcBorders>
              <w:top w:val="single" w:sz="4" w:color="BFBFBF"/>
              <w:left w:val="single" w:sz="4" w:color="BFBFBF"/>
              <w:bottom w:val="single" w:sz="4" w:color="BFBFBF"/>
              <w:right w:val="single" w:sz="4" w:color="BFBFBF"/>
            </w:tcBorders>
            <w:vAlign w:val="center"/>
          </w:tcPr>
          <w:p>
            <w:r>
              <w:rPr>
                <w:rFonts w:ascii="Calibri" w:hAnsi="Calibri"/>
                <w:sz w:val="20"/>
              </w:rPr>
              <w:t>CRCA</w:t>
            </w:r>
          </w:p>
        </w:tc>
        <w:tc>
          <w:tcPr>
            <w:tcW w:type="dxa" w:w="7087"/>
            <w:shd w:val="clear" w:color="auto" w:fill="F2F2F2"/>
            <w:tcBorders>
              <w:top w:val="single" w:sz="4" w:color="BFBFBF"/>
              <w:left w:val="single" w:sz="4" w:color="BFBFBF"/>
              <w:bottom w:val="single" w:sz="4" w:color="BFBFBF"/>
              <w:right w:val="single" w:sz="4" w:color="BFBFBF"/>
            </w:tcBorders>
            <w:vAlign w:val="center"/>
          </w:tcPr>
          <w:p>
            <w:r>
              <w:rPr>
                <w:rFonts w:ascii="Calibri" w:hAnsi="Calibri"/>
                <w:sz w:val="20"/>
              </w:rPr>
              <w:t>Commission Régionale de Contrôle des Assurances (CIMA)</w:t>
            </w:r>
          </w:p>
        </w:tc>
      </w:tr>
      <w:tr>
        <w:tc>
          <w:tcPr>
            <w:tcW w:type="dxa" w:w="1984"/>
            <w:tcBorders>
              <w:top w:val="single" w:sz="4" w:color="BFBFBF"/>
              <w:left w:val="single" w:sz="4" w:color="BFBFBF"/>
              <w:bottom w:val="single" w:sz="4" w:color="BFBFBF"/>
              <w:right w:val="single" w:sz="4" w:color="BFBFBF"/>
            </w:tcBorders>
            <w:vAlign w:val="center"/>
          </w:tcPr>
          <w:p>
            <w:r>
              <w:rPr>
                <w:rFonts w:ascii="Calibri" w:hAnsi="Calibri"/>
                <w:sz w:val="20"/>
              </w:rPr>
              <w:t>CSM</w:t>
            </w:r>
          </w:p>
        </w:tc>
        <w:tc>
          <w:tcPr>
            <w:tcW w:type="dxa" w:w="7087"/>
            <w:tcBorders>
              <w:top w:val="single" w:sz="4" w:color="BFBFBF"/>
              <w:left w:val="single" w:sz="4" w:color="BFBFBF"/>
              <w:bottom w:val="single" w:sz="4" w:color="BFBFBF"/>
              <w:right w:val="single" w:sz="4" w:color="BFBFBF"/>
            </w:tcBorders>
            <w:vAlign w:val="center"/>
          </w:tcPr>
          <w:p>
            <w:r>
              <w:rPr>
                <w:rFonts w:ascii="Calibri" w:hAnsi="Calibri"/>
                <w:sz w:val="20"/>
              </w:rPr>
              <w:t>Contractual Service Margin — marge de service contractuelle (IFRS 17)</w:t>
            </w:r>
          </w:p>
        </w:tc>
      </w:tr>
      <w:tr>
        <w:tc>
          <w:tcPr>
            <w:tcW w:type="dxa" w:w="1984"/>
            <w:shd w:val="clear" w:color="auto" w:fill="F2F2F2"/>
            <w:tcBorders>
              <w:top w:val="single" w:sz="4" w:color="BFBFBF"/>
              <w:left w:val="single" w:sz="4" w:color="BFBFBF"/>
              <w:bottom w:val="single" w:sz="4" w:color="BFBFBF"/>
              <w:right w:val="single" w:sz="4" w:color="BFBFBF"/>
            </w:tcBorders>
            <w:vAlign w:val="center"/>
          </w:tcPr>
          <w:p>
            <w:r>
              <w:rPr>
                <w:rFonts w:ascii="Calibri" w:hAnsi="Calibri"/>
                <w:sz w:val="20"/>
              </w:rPr>
              <w:t>DAG</w:t>
            </w:r>
          </w:p>
        </w:tc>
        <w:tc>
          <w:tcPr>
            <w:tcW w:type="dxa" w:w="7087"/>
            <w:shd w:val="clear" w:color="auto" w:fill="F2F2F2"/>
            <w:tcBorders>
              <w:top w:val="single" w:sz="4" w:color="BFBFBF"/>
              <w:left w:val="single" w:sz="4" w:color="BFBFBF"/>
              <w:bottom w:val="single" w:sz="4" w:color="BFBFBF"/>
              <w:right w:val="single" w:sz="4" w:color="BFBFBF"/>
            </w:tcBorders>
            <w:vAlign w:val="center"/>
          </w:tcPr>
          <w:p>
            <w:r>
              <w:rPr>
                <w:rFonts w:ascii="Calibri" w:hAnsi="Calibri"/>
                <w:sz w:val="20"/>
              </w:rPr>
              <w:t>Directed Acyclic Graph — graphe orienté acyclique</w:t>
            </w:r>
          </w:p>
        </w:tc>
      </w:tr>
      <w:tr>
        <w:tc>
          <w:tcPr>
            <w:tcW w:type="dxa" w:w="1984"/>
            <w:tcBorders>
              <w:top w:val="single" w:sz="4" w:color="BFBFBF"/>
              <w:left w:val="single" w:sz="4" w:color="BFBFBF"/>
              <w:bottom w:val="single" w:sz="4" w:color="BFBFBF"/>
              <w:right w:val="single" w:sz="4" w:color="BFBFBF"/>
            </w:tcBorders>
            <w:vAlign w:val="center"/>
          </w:tcPr>
          <w:p>
            <w:r>
              <w:rPr>
                <w:rFonts w:ascii="Calibri" w:hAnsi="Calibri"/>
                <w:sz w:val="20"/>
              </w:rPr>
              <w:t>DMS</w:t>
            </w:r>
          </w:p>
        </w:tc>
        <w:tc>
          <w:tcPr>
            <w:tcW w:type="dxa" w:w="7087"/>
            <w:tcBorders>
              <w:top w:val="single" w:sz="4" w:color="BFBFBF"/>
              <w:left w:val="single" w:sz="4" w:color="BFBFBF"/>
              <w:bottom w:val="single" w:sz="4" w:color="BFBFBF"/>
              <w:right w:val="single" w:sz="4" w:color="BFBFBF"/>
            </w:tcBorders>
            <w:vAlign w:val="center"/>
          </w:tcPr>
          <w:p>
            <w:r>
              <w:rPr>
                <w:rFonts w:ascii="Calibri" w:hAnsi="Calibri"/>
                <w:sz w:val="20"/>
              </w:rPr>
              <w:t>Durée Moyenne de Séjour (hôpital)</w:t>
            </w:r>
          </w:p>
        </w:tc>
      </w:tr>
      <w:tr>
        <w:tc>
          <w:tcPr>
            <w:tcW w:type="dxa" w:w="1984"/>
            <w:shd w:val="clear" w:color="auto" w:fill="F2F2F2"/>
            <w:tcBorders>
              <w:top w:val="single" w:sz="4" w:color="BFBFBF"/>
              <w:left w:val="single" w:sz="4" w:color="BFBFBF"/>
              <w:bottom w:val="single" w:sz="4" w:color="BFBFBF"/>
              <w:right w:val="single" w:sz="4" w:color="BFBFBF"/>
            </w:tcBorders>
            <w:vAlign w:val="center"/>
          </w:tcPr>
          <w:p>
            <w:r>
              <w:rPr>
                <w:rFonts w:ascii="Calibri" w:hAnsi="Calibri"/>
                <w:sz w:val="20"/>
              </w:rPr>
              <w:t>DPO</w:t>
            </w:r>
          </w:p>
        </w:tc>
        <w:tc>
          <w:tcPr>
            <w:tcW w:type="dxa" w:w="7087"/>
            <w:shd w:val="clear" w:color="auto" w:fill="F2F2F2"/>
            <w:tcBorders>
              <w:top w:val="single" w:sz="4" w:color="BFBFBF"/>
              <w:left w:val="single" w:sz="4" w:color="BFBFBF"/>
              <w:bottom w:val="single" w:sz="4" w:color="BFBFBF"/>
              <w:right w:val="single" w:sz="4" w:color="BFBFBF"/>
            </w:tcBorders>
            <w:vAlign w:val="center"/>
          </w:tcPr>
          <w:p>
            <w:r>
              <w:rPr>
                <w:rFonts w:ascii="Calibri" w:hAnsi="Calibri"/>
                <w:sz w:val="20"/>
              </w:rPr>
              <w:t>Days Payable Outstanding — délai moyen de paiement fournisseurs</w:t>
            </w:r>
          </w:p>
        </w:tc>
      </w:tr>
      <w:tr>
        <w:tc>
          <w:tcPr>
            <w:tcW w:type="dxa" w:w="1984"/>
            <w:tcBorders>
              <w:top w:val="single" w:sz="4" w:color="BFBFBF"/>
              <w:left w:val="single" w:sz="4" w:color="BFBFBF"/>
              <w:bottom w:val="single" w:sz="4" w:color="BFBFBF"/>
              <w:right w:val="single" w:sz="4" w:color="BFBFBF"/>
            </w:tcBorders>
            <w:vAlign w:val="center"/>
          </w:tcPr>
          <w:p>
            <w:r>
              <w:rPr>
                <w:rFonts w:ascii="Calibri" w:hAnsi="Calibri"/>
                <w:sz w:val="20"/>
              </w:rPr>
              <w:t>DSO</w:t>
            </w:r>
          </w:p>
        </w:tc>
        <w:tc>
          <w:tcPr>
            <w:tcW w:type="dxa" w:w="7087"/>
            <w:tcBorders>
              <w:top w:val="single" w:sz="4" w:color="BFBFBF"/>
              <w:left w:val="single" w:sz="4" w:color="BFBFBF"/>
              <w:bottom w:val="single" w:sz="4" w:color="BFBFBF"/>
              <w:right w:val="single" w:sz="4" w:color="BFBFBF"/>
            </w:tcBorders>
            <w:vAlign w:val="center"/>
          </w:tcPr>
          <w:p>
            <w:r>
              <w:rPr>
                <w:rFonts w:ascii="Calibri" w:hAnsi="Calibri"/>
                <w:sz w:val="20"/>
              </w:rPr>
              <w:t>Days Sales Outstanding — délai moyen de recouvrement clients</w:t>
            </w:r>
          </w:p>
        </w:tc>
      </w:tr>
      <w:tr>
        <w:tc>
          <w:tcPr>
            <w:tcW w:type="dxa" w:w="1984"/>
            <w:shd w:val="clear" w:color="auto" w:fill="F2F2F2"/>
            <w:tcBorders>
              <w:top w:val="single" w:sz="4" w:color="BFBFBF"/>
              <w:left w:val="single" w:sz="4" w:color="BFBFBF"/>
              <w:bottom w:val="single" w:sz="4" w:color="BFBFBF"/>
              <w:right w:val="single" w:sz="4" w:color="BFBFBF"/>
            </w:tcBorders>
            <w:vAlign w:val="center"/>
          </w:tcPr>
          <w:p>
            <w:r>
              <w:rPr>
                <w:rFonts w:ascii="Calibri" w:hAnsi="Calibri"/>
                <w:sz w:val="20"/>
              </w:rPr>
              <w:t>ECL</w:t>
            </w:r>
          </w:p>
        </w:tc>
        <w:tc>
          <w:tcPr>
            <w:tcW w:type="dxa" w:w="7087"/>
            <w:shd w:val="clear" w:color="auto" w:fill="F2F2F2"/>
            <w:tcBorders>
              <w:top w:val="single" w:sz="4" w:color="BFBFBF"/>
              <w:left w:val="single" w:sz="4" w:color="BFBFBF"/>
              <w:bottom w:val="single" w:sz="4" w:color="BFBFBF"/>
              <w:right w:val="single" w:sz="4" w:color="BFBFBF"/>
            </w:tcBorders>
            <w:vAlign w:val="center"/>
          </w:tcPr>
          <w:p>
            <w:r>
              <w:rPr>
                <w:rFonts w:ascii="Calibri" w:hAnsi="Calibri"/>
                <w:sz w:val="20"/>
              </w:rPr>
              <w:t>Expected Credit Loss — pertes attendues sur crédits (IFRS 9)</w:t>
            </w:r>
          </w:p>
        </w:tc>
      </w:tr>
      <w:tr>
        <w:tc>
          <w:tcPr>
            <w:tcW w:type="dxa" w:w="1984"/>
            <w:tcBorders>
              <w:top w:val="single" w:sz="4" w:color="BFBFBF"/>
              <w:left w:val="single" w:sz="4" w:color="BFBFBF"/>
              <w:bottom w:val="single" w:sz="4" w:color="BFBFBF"/>
              <w:right w:val="single" w:sz="4" w:color="BFBFBF"/>
            </w:tcBorders>
            <w:vAlign w:val="center"/>
          </w:tcPr>
          <w:p>
            <w:r>
              <w:rPr>
                <w:rFonts w:ascii="Calibri" w:hAnsi="Calibri"/>
                <w:sz w:val="20"/>
              </w:rPr>
              <w:t>EME</w:t>
            </w:r>
          </w:p>
        </w:tc>
        <w:tc>
          <w:tcPr>
            <w:tcW w:type="dxa" w:w="7087"/>
            <w:tcBorders>
              <w:top w:val="single" w:sz="4" w:color="BFBFBF"/>
              <w:left w:val="single" w:sz="4" w:color="BFBFBF"/>
              <w:bottom w:val="single" w:sz="4" w:color="BFBFBF"/>
              <w:right w:val="single" w:sz="4" w:color="BFBFBF"/>
            </w:tcBorders>
            <w:vAlign w:val="center"/>
          </w:tcPr>
          <w:p>
            <w:r>
              <w:rPr>
                <w:rFonts w:ascii="Calibri" w:hAnsi="Calibri"/>
                <w:sz w:val="20"/>
              </w:rPr>
              <w:t>Établissement de Monnaie Électronique</w:t>
            </w:r>
          </w:p>
        </w:tc>
      </w:tr>
      <w:tr>
        <w:tc>
          <w:tcPr>
            <w:tcW w:type="dxa" w:w="1984"/>
            <w:shd w:val="clear" w:color="auto" w:fill="F2F2F2"/>
            <w:tcBorders>
              <w:top w:val="single" w:sz="4" w:color="BFBFBF"/>
              <w:left w:val="single" w:sz="4" w:color="BFBFBF"/>
              <w:bottom w:val="single" w:sz="4" w:color="BFBFBF"/>
              <w:right w:val="single" w:sz="4" w:color="BFBFBF"/>
            </w:tcBorders>
            <w:vAlign w:val="center"/>
          </w:tcPr>
          <w:p>
            <w:r>
              <w:rPr>
                <w:rFonts w:ascii="Calibri" w:hAnsi="Calibri"/>
                <w:sz w:val="20"/>
              </w:rPr>
              <w:t>ESC</w:t>
            </w:r>
          </w:p>
        </w:tc>
        <w:tc>
          <w:tcPr>
            <w:tcW w:type="dxa" w:w="7087"/>
            <w:shd w:val="clear" w:color="auto" w:fill="F2F2F2"/>
            <w:tcBorders>
              <w:top w:val="single" w:sz="4" w:color="BFBFBF"/>
              <w:left w:val="single" w:sz="4" w:color="BFBFBF"/>
              <w:bottom w:val="single" w:sz="4" w:color="BFBFBF"/>
              <w:right w:val="single" w:sz="4" w:color="BFBFBF"/>
            </w:tcBorders>
            <w:vAlign w:val="center"/>
          </w:tcPr>
          <w:p>
            <w:r>
              <w:rPr>
                <w:rFonts w:ascii="Calibri" w:hAnsi="Calibri"/>
                <w:sz w:val="20"/>
              </w:rPr>
              <w:t>États Statistiques et Comptables (reporting CIMA)</w:t>
            </w:r>
          </w:p>
        </w:tc>
      </w:tr>
      <w:tr>
        <w:tc>
          <w:tcPr>
            <w:tcW w:type="dxa" w:w="1984"/>
            <w:tcBorders>
              <w:top w:val="single" w:sz="4" w:color="BFBFBF"/>
              <w:left w:val="single" w:sz="4" w:color="BFBFBF"/>
              <w:bottom w:val="single" w:sz="4" w:color="BFBFBF"/>
              <w:right w:val="single" w:sz="4" w:color="BFBFBF"/>
            </w:tcBorders>
            <w:vAlign w:val="center"/>
          </w:tcPr>
          <w:p>
            <w:r>
              <w:rPr>
                <w:rFonts w:ascii="Calibri" w:hAnsi="Calibri"/>
                <w:sz w:val="20"/>
              </w:rPr>
              <w:t>GMV</w:t>
            </w:r>
          </w:p>
        </w:tc>
        <w:tc>
          <w:tcPr>
            <w:tcW w:type="dxa" w:w="7087"/>
            <w:tcBorders>
              <w:top w:val="single" w:sz="4" w:color="BFBFBF"/>
              <w:left w:val="single" w:sz="4" w:color="BFBFBF"/>
              <w:bottom w:val="single" w:sz="4" w:color="BFBFBF"/>
              <w:right w:val="single" w:sz="4" w:color="BFBFBF"/>
            </w:tcBorders>
            <w:vAlign w:val="center"/>
          </w:tcPr>
          <w:p>
            <w:r>
              <w:rPr>
                <w:rFonts w:ascii="Calibri" w:hAnsi="Calibri"/>
                <w:sz w:val="20"/>
              </w:rPr>
              <w:t>Gross Merchandise Value — volume brut transactionnel (marketplace)</w:t>
            </w:r>
          </w:p>
        </w:tc>
      </w:tr>
      <w:tr>
        <w:tc>
          <w:tcPr>
            <w:tcW w:type="dxa" w:w="1984"/>
            <w:shd w:val="clear" w:color="auto" w:fill="F2F2F2"/>
            <w:tcBorders>
              <w:top w:val="single" w:sz="4" w:color="BFBFBF"/>
              <w:left w:val="single" w:sz="4" w:color="BFBFBF"/>
              <w:bottom w:val="single" w:sz="4" w:color="BFBFBF"/>
              <w:right w:val="single" w:sz="4" w:color="BFBFBF"/>
            </w:tcBorders>
            <w:vAlign w:val="center"/>
          </w:tcPr>
          <w:p>
            <w:r>
              <w:rPr>
                <w:rFonts w:ascii="Calibri" w:hAnsi="Calibri"/>
                <w:sz w:val="20"/>
              </w:rPr>
              <w:t>HQLA</w:t>
            </w:r>
          </w:p>
        </w:tc>
        <w:tc>
          <w:tcPr>
            <w:tcW w:type="dxa" w:w="7087"/>
            <w:shd w:val="clear" w:color="auto" w:fill="F2F2F2"/>
            <w:tcBorders>
              <w:top w:val="single" w:sz="4" w:color="BFBFBF"/>
              <w:left w:val="single" w:sz="4" w:color="BFBFBF"/>
              <w:bottom w:val="single" w:sz="4" w:color="BFBFBF"/>
              <w:right w:val="single" w:sz="4" w:color="BFBFBF"/>
            </w:tcBorders>
            <w:vAlign w:val="center"/>
          </w:tcPr>
          <w:p>
            <w:r>
              <w:rPr>
                <w:rFonts w:ascii="Calibri" w:hAnsi="Calibri"/>
                <w:sz w:val="20"/>
              </w:rPr>
              <w:t>High Quality Liquid Assets — actifs liquides de haute qualité (Bâle III)</w:t>
            </w:r>
          </w:p>
        </w:tc>
      </w:tr>
      <w:tr>
        <w:tc>
          <w:tcPr>
            <w:tcW w:type="dxa" w:w="1984"/>
            <w:tcBorders>
              <w:top w:val="single" w:sz="4" w:color="BFBFBF"/>
              <w:left w:val="single" w:sz="4" w:color="BFBFBF"/>
              <w:bottom w:val="single" w:sz="4" w:color="BFBFBF"/>
              <w:right w:val="single" w:sz="4" w:color="BFBFBF"/>
            </w:tcBorders>
            <w:vAlign w:val="center"/>
          </w:tcPr>
          <w:p>
            <w:r>
              <w:rPr>
                <w:rFonts w:ascii="Calibri" w:hAnsi="Calibri"/>
                <w:sz w:val="20"/>
              </w:rPr>
              <w:t>IFRS</w:t>
            </w:r>
          </w:p>
        </w:tc>
        <w:tc>
          <w:tcPr>
            <w:tcW w:type="dxa" w:w="7087"/>
            <w:tcBorders>
              <w:top w:val="single" w:sz="4" w:color="BFBFBF"/>
              <w:left w:val="single" w:sz="4" w:color="BFBFBF"/>
              <w:bottom w:val="single" w:sz="4" w:color="BFBFBF"/>
              <w:right w:val="single" w:sz="4" w:color="BFBFBF"/>
            </w:tcBorders>
            <w:vAlign w:val="center"/>
          </w:tcPr>
          <w:p>
            <w:r>
              <w:rPr>
                <w:rFonts w:ascii="Calibri" w:hAnsi="Calibri"/>
                <w:sz w:val="20"/>
              </w:rPr>
              <w:t>International Financial Reporting Standards</w:t>
            </w:r>
          </w:p>
        </w:tc>
      </w:tr>
      <w:tr>
        <w:tc>
          <w:tcPr>
            <w:tcW w:type="dxa" w:w="1984"/>
            <w:shd w:val="clear" w:color="auto" w:fill="F2F2F2"/>
            <w:tcBorders>
              <w:top w:val="single" w:sz="4" w:color="BFBFBF"/>
              <w:left w:val="single" w:sz="4" w:color="BFBFBF"/>
              <w:bottom w:val="single" w:sz="4" w:color="BFBFBF"/>
              <w:right w:val="single" w:sz="4" w:color="BFBFBF"/>
            </w:tcBorders>
            <w:vAlign w:val="center"/>
          </w:tcPr>
          <w:p>
            <w:r>
              <w:rPr>
                <w:rFonts w:ascii="Calibri" w:hAnsi="Calibri"/>
                <w:sz w:val="20"/>
              </w:rPr>
              <w:t>IBNR</w:t>
            </w:r>
          </w:p>
        </w:tc>
        <w:tc>
          <w:tcPr>
            <w:tcW w:type="dxa" w:w="7087"/>
            <w:shd w:val="clear" w:color="auto" w:fill="F2F2F2"/>
            <w:tcBorders>
              <w:top w:val="single" w:sz="4" w:color="BFBFBF"/>
              <w:left w:val="single" w:sz="4" w:color="BFBFBF"/>
              <w:bottom w:val="single" w:sz="4" w:color="BFBFBF"/>
              <w:right w:val="single" w:sz="4" w:color="BFBFBF"/>
            </w:tcBorders>
            <w:vAlign w:val="center"/>
          </w:tcPr>
          <w:p>
            <w:r>
              <w:rPr>
                <w:rFonts w:ascii="Calibri" w:hAnsi="Calibri"/>
                <w:sz w:val="20"/>
              </w:rPr>
              <w:t>Incurred But Not Reported — sinistres survenus non encore déclarés</w:t>
            </w:r>
          </w:p>
        </w:tc>
      </w:tr>
      <w:tr>
        <w:tc>
          <w:tcPr>
            <w:tcW w:type="dxa" w:w="1984"/>
            <w:tcBorders>
              <w:top w:val="single" w:sz="4" w:color="BFBFBF"/>
              <w:left w:val="single" w:sz="4" w:color="BFBFBF"/>
              <w:bottom w:val="single" w:sz="4" w:color="BFBFBF"/>
              <w:right w:val="single" w:sz="4" w:color="BFBFBF"/>
            </w:tcBorders>
            <w:vAlign w:val="center"/>
          </w:tcPr>
          <w:p>
            <w:r>
              <w:rPr>
                <w:rFonts w:ascii="Calibri" w:hAnsi="Calibri"/>
                <w:sz w:val="20"/>
              </w:rPr>
              <w:t>KYC/AML</w:t>
            </w:r>
          </w:p>
        </w:tc>
        <w:tc>
          <w:tcPr>
            <w:tcW w:type="dxa" w:w="7087"/>
            <w:tcBorders>
              <w:top w:val="single" w:sz="4" w:color="BFBFBF"/>
              <w:left w:val="single" w:sz="4" w:color="BFBFBF"/>
              <w:bottom w:val="single" w:sz="4" w:color="BFBFBF"/>
              <w:right w:val="single" w:sz="4" w:color="BFBFBF"/>
            </w:tcBorders>
            <w:vAlign w:val="center"/>
          </w:tcPr>
          <w:p>
            <w:r>
              <w:rPr>
                <w:rFonts w:ascii="Calibri" w:hAnsi="Calibri"/>
                <w:sz w:val="20"/>
              </w:rPr>
              <w:t>Know Your Customer / Anti-Money Laundering</w:t>
            </w:r>
          </w:p>
        </w:tc>
      </w:tr>
      <w:tr>
        <w:tc>
          <w:tcPr>
            <w:tcW w:type="dxa" w:w="1984"/>
            <w:shd w:val="clear" w:color="auto" w:fill="F2F2F2"/>
            <w:tcBorders>
              <w:top w:val="single" w:sz="4" w:color="BFBFBF"/>
              <w:left w:val="single" w:sz="4" w:color="BFBFBF"/>
              <w:bottom w:val="single" w:sz="4" w:color="BFBFBF"/>
              <w:right w:val="single" w:sz="4" w:color="BFBFBF"/>
            </w:tcBorders>
            <w:vAlign w:val="center"/>
          </w:tcPr>
          <w:p>
            <w:r>
              <w:rPr>
                <w:rFonts w:ascii="Calibri" w:hAnsi="Calibri"/>
                <w:sz w:val="20"/>
              </w:rPr>
              <w:t>LCR</w:t>
            </w:r>
          </w:p>
        </w:tc>
        <w:tc>
          <w:tcPr>
            <w:tcW w:type="dxa" w:w="7087"/>
            <w:shd w:val="clear" w:color="auto" w:fill="F2F2F2"/>
            <w:tcBorders>
              <w:top w:val="single" w:sz="4" w:color="BFBFBF"/>
              <w:left w:val="single" w:sz="4" w:color="BFBFBF"/>
              <w:bottom w:val="single" w:sz="4" w:color="BFBFBF"/>
              <w:right w:val="single" w:sz="4" w:color="BFBFBF"/>
            </w:tcBorders>
            <w:vAlign w:val="center"/>
          </w:tcPr>
          <w:p>
            <w:r>
              <w:rPr>
                <w:rFonts w:ascii="Calibri" w:hAnsi="Calibri"/>
                <w:sz w:val="20"/>
              </w:rPr>
              <w:t>Liquidity Coverage Ratio — ratio de liquidité court terme (Bâle III)</w:t>
            </w:r>
          </w:p>
        </w:tc>
      </w:tr>
      <w:tr>
        <w:tc>
          <w:tcPr>
            <w:tcW w:type="dxa" w:w="1984"/>
            <w:tcBorders>
              <w:top w:val="single" w:sz="4" w:color="BFBFBF"/>
              <w:left w:val="single" w:sz="4" w:color="BFBFBF"/>
              <w:bottom w:val="single" w:sz="4" w:color="BFBFBF"/>
              <w:right w:val="single" w:sz="4" w:color="BFBFBF"/>
            </w:tcBorders>
            <w:vAlign w:val="center"/>
          </w:tcPr>
          <w:p>
            <w:r>
              <w:rPr>
                <w:rFonts w:ascii="Calibri" w:hAnsi="Calibri"/>
                <w:sz w:val="20"/>
              </w:rPr>
              <w:t>LGD</w:t>
            </w:r>
          </w:p>
        </w:tc>
        <w:tc>
          <w:tcPr>
            <w:tcW w:type="dxa" w:w="7087"/>
            <w:tcBorders>
              <w:top w:val="single" w:sz="4" w:color="BFBFBF"/>
              <w:left w:val="single" w:sz="4" w:color="BFBFBF"/>
              <w:bottom w:val="single" w:sz="4" w:color="BFBFBF"/>
              <w:right w:val="single" w:sz="4" w:color="BFBFBF"/>
            </w:tcBorders>
            <w:vAlign w:val="center"/>
          </w:tcPr>
          <w:p>
            <w:r>
              <w:rPr>
                <w:rFonts w:ascii="Calibri" w:hAnsi="Calibri"/>
                <w:sz w:val="20"/>
              </w:rPr>
              <w:t>Loss Given Default — perte en cas de défaut</w:t>
            </w:r>
          </w:p>
        </w:tc>
      </w:tr>
      <w:tr>
        <w:tc>
          <w:tcPr>
            <w:tcW w:type="dxa" w:w="1984"/>
            <w:shd w:val="clear" w:color="auto" w:fill="F2F2F2"/>
            <w:tcBorders>
              <w:top w:val="single" w:sz="4" w:color="BFBFBF"/>
              <w:left w:val="single" w:sz="4" w:color="BFBFBF"/>
              <w:bottom w:val="single" w:sz="4" w:color="BFBFBF"/>
              <w:right w:val="single" w:sz="4" w:color="BFBFBF"/>
            </w:tcBorders>
            <w:vAlign w:val="center"/>
          </w:tcPr>
          <w:p>
            <w:r>
              <w:rPr>
                <w:rFonts w:ascii="Calibri" w:hAnsi="Calibri"/>
                <w:sz w:val="20"/>
              </w:rPr>
              <w:t>LTV</w:t>
            </w:r>
          </w:p>
        </w:tc>
        <w:tc>
          <w:tcPr>
            <w:tcW w:type="dxa" w:w="7087"/>
            <w:shd w:val="clear" w:color="auto" w:fill="F2F2F2"/>
            <w:tcBorders>
              <w:top w:val="single" w:sz="4" w:color="BFBFBF"/>
              <w:left w:val="single" w:sz="4" w:color="BFBFBF"/>
              <w:bottom w:val="single" w:sz="4" w:color="BFBFBF"/>
              <w:right w:val="single" w:sz="4" w:color="BFBFBF"/>
            </w:tcBorders>
            <w:vAlign w:val="center"/>
          </w:tcPr>
          <w:p>
            <w:r>
              <w:rPr>
                <w:rFonts w:ascii="Calibri" w:hAnsi="Calibri"/>
                <w:sz w:val="20"/>
              </w:rPr>
              <w:t>Lifetime Value — valeur à vie d'un client</w:t>
            </w:r>
          </w:p>
        </w:tc>
      </w:tr>
      <w:tr>
        <w:tc>
          <w:tcPr>
            <w:tcW w:type="dxa" w:w="1984"/>
            <w:tcBorders>
              <w:top w:val="single" w:sz="4" w:color="BFBFBF"/>
              <w:left w:val="single" w:sz="4" w:color="BFBFBF"/>
              <w:bottom w:val="single" w:sz="4" w:color="BFBFBF"/>
              <w:right w:val="single" w:sz="4" w:color="BFBFBF"/>
            </w:tcBorders>
            <w:vAlign w:val="center"/>
          </w:tcPr>
          <w:p>
            <w:r>
              <w:rPr>
                <w:rFonts w:ascii="Calibri" w:hAnsi="Calibri"/>
                <w:sz w:val="20"/>
              </w:rPr>
              <w:t>MNI / NIM</w:t>
            </w:r>
          </w:p>
        </w:tc>
        <w:tc>
          <w:tcPr>
            <w:tcW w:type="dxa" w:w="7087"/>
            <w:tcBorders>
              <w:top w:val="single" w:sz="4" w:color="BFBFBF"/>
              <w:left w:val="single" w:sz="4" w:color="BFBFBF"/>
              <w:bottom w:val="single" w:sz="4" w:color="BFBFBF"/>
              <w:right w:val="single" w:sz="4" w:color="BFBFBF"/>
            </w:tcBorders>
            <w:vAlign w:val="center"/>
          </w:tcPr>
          <w:p>
            <w:r>
              <w:rPr>
                <w:rFonts w:ascii="Calibri" w:hAnsi="Calibri"/>
                <w:sz w:val="20"/>
              </w:rPr>
              <w:t>Marge Nette d'Intérêts / Net Interest Margin</w:t>
            </w:r>
          </w:p>
        </w:tc>
      </w:tr>
      <w:tr>
        <w:tc>
          <w:tcPr>
            <w:tcW w:type="dxa" w:w="1984"/>
            <w:shd w:val="clear" w:color="auto" w:fill="F2F2F2"/>
            <w:tcBorders>
              <w:top w:val="single" w:sz="4" w:color="BFBFBF"/>
              <w:left w:val="single" w:sz="4" w:color="BFBFBF"/>
              <w:bottom w:val="single" w:sz="4" w:color="BFBFBF"/>
              <w:right w:val="single" w:sz="4" w:color="BFBFBF"/>
            </w:tcBorders>
            <w:vAlign w:val="center"/>
          </w:tcPr>
          <w:p>
            <w:r>
              <w:rPr>
                <w:rFonts w:ascii="Calibri" w:hAnsi="Calibri"/>
                <w:sz w:val="20"/>
              </w:rPr>
              <w:t>MRR</w:t>
            </w:r>
          </w:p>
        </w:tc>
        <w:tc>
          <w:tcPr>
            <w:tcW w:type="dxa" w:w="7087"/>
            <w:shd w:val="clear" w:color="auto" w:fill="F2F2F2"/>
            <w:tcBorders>
              <w:top w:val="single" w:sz="4" w:color="BFBFBF"/>
              <w:left w:val="single" w:sz="4" w:color="BFBFBF"/>
              <w:bottom w:val="single" w:sz="4" w:color="BFBFBF"/>
              <w:right w:val="single" w:sz="4" w:color="BFBFBF"/>
            </w:tcBorders>
            <w:vAlign w:val="center"/>
          </w:tcPr>
          <w:p>
            <w:r>
              <w:rPr>
                <w:rFonts w:ascii="Calibri" w:hAnsi="Calibri"/>
                <w:sz w:val="20"/>
              </w:rPr>
              <w:t>Monthly Recurring Revenue (SaaS)</w:t>
            </w:r>
          </w:p>
        </w:tc>
      </w:tr>
      <w:tr>
        <w:tc>
          <w:tcPr>
            <w:tcW w:type="dxa" w:w="1984"/>
            <w:tcBorders>
              <w:top w:val="single" w:sz="4" w:color="BFBFBF"/>
              <w:left w:val="single" w:sz="4" w:color="BFBFBF"/>
              <w:bottom w:val="single" w:sz="4" w:color="BFBFBF"/>
              <w:right w:val="single" w:sz="4" w:color="BFBFBF"/>
            </w:tcBorders>
            <w:vAlign w:val="center"/>
          </w:tcPr>
          <w:p>
            <w:r>
              <w:rPr>
                <w:rFonts w:ascii="Calibri" w:hAnsi="Calibri"/>
                <w:sz w:val="20"/>
              </w:rPr>
              <w:t>NPL</w:t>
            </w:r>
          </w:p>
        </w:tc>
        <w:tc>
          <w:tcPr>
            <w:tcW w:type="dxa" w:w="7087"/>
            <w:tcBorders>
              <w:top w:val="single" w:sz="4" w:color="BFBFBF"/>
              <w:left w:val="single" w:sz="4" w:color="BFBFBF"/>
              <w:bottom w:val="single" w:sz="4" w:color="BFBFBF"/>
              <w:right w:val="single" w:sz="4" w:color="BFBFBF"/>
            </w:tcBorders>
            <w:vAlign w:val="center"/>
          </w:tcPr>
          <w:p>
            <w:r>
              <w:rPr>
                <w:rFonts w:ascii="Calibri" w:hAnsi="Calibri"/>
                <w:sz w:val="20"/>
              </w:rPr>
              <w:t>Non-Performing Loan — créance douteuse</w:t>
            </w:r>
          </w:p>
        </w:tc>
      </w:tr>
      <w:tr>
        <w:tc>
          <w:tcPr>
            <w:tcW w:type="dxa" w:w="1984"/>
            <w:shd w:val="clear" w:color="auto" w:fill="F2F2F2"/>
            <w:tcBorders>
              <w:top w:val="single" w:sz="4" w:color="BFBFBF"/>
              <w:left w:val="single" w:sz="4" w:color="BFBFBF"/>
              <w:bottom w:val="single" w:sz="4" w:color="BFBFBF"/>
              <w:right w:val="single" w:sz="4" w:color="BFBFBF"/>
            </w:tcBorders>
            <w:vAlign w:val="center"/>
          </w:tcPr>
          <w:p>
            <w:r>
              <w:rPr>
                <w:rFonts w:ascii="Calibri" w:hAnsi="Calibri"/>
                <w:sz w:val="20"/>
              </w:rPr>
              <w:t>NRR</w:t>
            </w:r>
          </w:p>
        </w:tc>
        <w:tc>
          <w:tcPr>
            <w:tcW w:type="dxa" w:w="7087"/>
            <w:shd w:val="clear" w:color="auto" w:fill="F2F2F2"/>
            <w:tcBorders>
              <w:top w:val="single" w:sz="4" w:color="BFBFBF"/>
              <w:left w:val="single" w:sz="4" w:color="BFBFBF"/>
              <w:bottom w:val="single" w:sz="4" w:color="BFBFBF"/>
              <w:right w:val="single" w:sz="4" w:color="BFBFBF"/>
            </w:tcBorders>
            <w:vAlign w:val="center"/>
          </w:tcPr>
          <w:p>
            <w:r>
              <w:rPr>
                <w:rFonts w:ascii="Calibri" w:hAnsi="Calibri"/>
                <w:sz w:val="20"/>
              </w:rPr>
              <w:t>Net Revenue Retention</w:t>
            </w:r>
          </w:p>
        </w:tc>
      </w:tr>
      <w:tr>
        <w:tc>
          <w:tcPr>
            <w:tcW w:type="dxa" w:w="1984"/>
            <w:tcBorders>
              <w:top w:val="single" w:sz="4" w:color="BFBFBF"/>
              <w:left w:val="single" w:sz="4" w:color="BFBFBF"/>
              <w:bottom w:val="single" w:sz="4" w:color="BFBFBF"/>
              <w:right w:val="single" w:sz="4" w:color="BFBFBF"/>
            </w:tcBorders>
            <w:vAlign w:val="center"/>
          </w:tcPr>
          <w:p>
            <w:r>
              <w:rPr>
                <w:rFonts w:ascii="Calibri" w:hAnsi="Calibri"/>
                <w:sz w:val="20"/>
              </w:rPr>
              <w:t>NSFR</w:t>
            </w:r>
          </w:p>
        </w:tc>
        <w:tc>
          <w:tcPr>
            <w:tcW w:type="dxa" w:w="7087"/>
            <w:tcBorders>
              <w:top w:val="single" w:sz="4" w:color="BFBFBF"/>
              <w:left w:val="single" w:sz="4" w:color="BFBFBF"/>
              <w:bottom w:val="single" w:sz="4" w:color="BFBFBF"/>
              <w:right w:val="single" w:sz="4" w:color="BFBFBF"/>
            </w:tcBorders>
            <w:vAlign w:val="center"/>
          </w:tcPr>
          <w:p>
            <w:r>
              <w:rPr>
                <w:rFonts w:ascii="Calibri" w:hAnsi="Calibri"/>
                <w:sz w:val="20"/>
              </w:rPr>
              <w:t>Net Stable Funding Ratio — financement stable (Bâle III)</w:t>
            </w:r>
          </w:p>
        </w:tc>
      </w:tr>
      <w:tr>
        <w:tc>
          <w:tcPr>
            <w:tcW w:type="dxa" w:w="1984"/>
            <w:shd w:val="clear" w:color="auto" w:fill="F2F2F2"/>
            <w:tcBorders>
              <w:top w:val="single" w:sz="4" w:color="BFBFBF"/>
              <w:left w:val="single" w:sz="4" w:color="BFBFBF"/>
              <w:bottom w:val="single" w:sz="4" w:color="BFBFBF"/>
              <w:right w:val="single" w:sz="4" w:color="BFBFBF"/>
            </w:tcBorders>
            <w:vAlign w:val="center"/>
          </w:tcPr>
          <w:p>
            <w:r>
              <w:rPr>
                <w:rFonts w:ascii="Calibri" w:hAnsi="Calibri"/>
                <w:sz w:val="20"/>
              </w:rPr>
              <w:t>OEE</w:t>
            </w:r>
          </w:p>
        </w:tc>
        <w:tc>
          <w:tcPr>
            <w:tcW w:type="dxa" w:w="7087"/>
            <w:shd w:val="clear" w:color="auto" w:fill="F2F2F2"/>
            <w:tcBorders>
              <w:top w:val="single" w:sz="4" w:color="BFBFBF"/>
              <w:left w:val="single" w:sz="4" w:color="BFBFBF"/>
              <w:bottom w:val="single" w:sz="4" w:color="BFBFBF"/>
              <w:right w:val="single" w:sz="4" w:color="BFBFBF"/>
            </w:tcBorders>
            <w:vAlign w:val="center"/>
          </w:tcPr>
          <w:p>
            <w:r>
              <w:rPr>
                <w:rFonts w:ascii="Calibri" w:hAnsi="Calibri"/>
                <w:sz w:val="20"/>
              </w:rPr>
              <w:t>Overall Equipment Effectiveness — efficacité globale équipement</w:t>
            </w:r>
          </w:p>
        </w:tc>
      </w:tr>
      <w:tr>
        <w:tc>
          <w:tcPr>
            <w:tcW w:type="dxa" w:w="1984"/>
            <w:tcBorders>
              <w:top w:val="single" w:sz="4" w:color="BFBFBF"/>
              <w:left w:val="single" w:sz="4" w:color="BFBFBF"/>
              <w:bottom w:val="single" w:sz="4" w:color="BFBFBF"/>
              <w:right w:val="single" w:sz="4" w:color="BFBFBF"/>
            </w:tcBorders>
            <w:vAlign w:val="center"/>
          </w:tcPr>
          <w:p>
            <w:r>
              <w:rPr>
                <w:rFonts w:ascii="Calibri" w:hAnsi="Calibri"/>
                <w:sz w:val="20"/>
              </w:rPr>
              <w:t>OHADA</w:t>
            </w:r>
          </w:p>
        </w:tc>
        <w:tc>
          <w:tcPr>
            <w:tcW w:type="dxa" w:w="7087"/>
            <w:tcBorders>
              <w:top w:val="single" w:sz="4" w:color="BFBFBF"/>
              <w:left w:val="single" w:sz="4" w:color="BFBFBF"/>
              <w:bottom w:val="single" w:sz="4" w:color="BFBFBF"/>
              <w:right w:val="single" w:sz="4" w:color="BFBFBF"/>
            </w:tcBorders>
            <w:vAlign w:val="center"/>
          </w:tcPr>
          <w:p>
            <w:r>
              <w:rPr>
                <w:rFonts w:ascii="Calibri" w:hAnsi="Calibri"/>
                <w:sz w:val="20"/>
              </w:rPr>
              <w:t>Organisation pour l'Harmonisation en Afrique du Droit des Affaires</w:t>
            </w:r>
          </w:p>
        </w:tc>
      </w:tr>
      <w:tr>
        <w:tc>
          <w:tcPr>
            <w:tcW w:type="dxa" w:w="1984"/>
            <w:shd w:val="clear" w:color="auto" w:fill="F2F2F2"/>
            <w:tcBorders>
              <w:top w:val="single" w:sz="4" w:color="BFBFBF"/>
              <w:left w:val="single" w:sz="4" w:color="BFBFBF"/>
              <w:bottom w:val="single" w:sz="4" w:color="BFBFBF"/>
              <w:right w:val="single" w:sz="4" w:color="BFBFBF"/>
            </w:tcBorders>
            <w:vAlign w:val="center"/>
          </w:tcPr>
          <w:p>
            <w:r>
              <w:rPr>
                <w:rFonts w:ascii="Calibri" w:hAnsi="Calibri"/>
                <w:sz w:val="20"/>
              </w:rPr>
              <w:t>PCB</w:t>
            </w:r>
          </w:p>
        </w:tc>
        <w:tc>
          <w:tcPr>
            <w:tcW w:type="dxa" w:w="7087"/>
            <w:shd w:val="clear" w:color="auto" w:fill="F2F2F2"/>
            <w:tcBorders>
              <w:top w:val="single" w:sz="4" w:color="BFBFBF"/>
              <w:left w:val="single" w:sz="4" w:color="BFBFBF"/>
              <w:bottom w:val="single" w:sz="4" w:color="BFBFBF"/>
              <w:right w:val="single" w:sz="4" w:color="BFBFBF"/>
            </w:tcBorders>
            <w:vAlign w:val="center"/>
          </w:tcPr>
          <w:p>
            <w:r>
              <w:rPr>
                <w:rFonts w:ascii="Calibri" w:hAnsi="Calibri"/>
                <w:sz w:val="20"/>
              </w:rPr>
              <w:t>Plan Comptable Bancaire (SYSCOHADA bancaire)</w:t>
            </w:r>
          </w:p>
        </w:tc>
      </w:tr>
      <w:tr>
        <w:tc>
          <w:tcPr>
            <w:tcW w:type="dxa" w:w="1984"/>
            <w:tcBorders>
              <w:top w:val="single" w:sz="4" w:color="BFBFBF"/>
              <w:left w:val="single" w:sz="4" w:color="BFBFBF"/>
              <w:bottom w:val="single" w:sz="4" w:color="BFBFBF"/>
              <w:right w:val="single" w:sz="4" w:color="BFBFBF"/>
            </w:tcBorders>
            <w:vAlign w:val="center"/>
          </w:tcPr>
          <w:p>
            <w:r>
              <w:rPr>
                <w:rFonts w:ascii="Calibri" w:hAnsi="Calibri"/>
                <w:sz w:val="20"/>
              </w:rPr>
              <w:t>PD</w:t>
            </w:r>
          </w:p>
        </w:tc>
        <w:tc>
          <w:tcPr>
            <w:tcW w:type="dxa" w:w="7087"/>
            <w:tcBorders>
              <w:top w:val="single" w:sz="4" w:color="BFBFBF"/>
              <w:left w:val="single" w:sz="4" w:color="BFBFBF"/>
              <w:bottom w:val="single" w:sz="4" w:color="BFBFBF"/>
              <w:right w:val="single" w:sz="4" w:color="BFBFBF"/>
            </w:tcBorders>
            <w:vAlign w:val="center"/>
          </w:tcPr>
          <w:p>
            <w:r>
              <w:rPr>
                <w:rFonts w:ascii="Calibri" w:hAnsi="Calibri"/>
                <w:sz w:val="20"/>
              </w:rPr>
              <w:t>Probability of Default — probabilité de défaut</w:t>
            </w:r>
          </w:p>
        </w:tc>
      </w:tr>
      <w:tr>
        <w:tc>
          <w:tcPr>
            <w:tcW w:type="dxa" w:w="1984"/>
            <w:shd w:val="clear" w:color="auto" w:fill="F2F2F2"/>
            <w:tcBorders>
              <w:top w:val="single" w:sz="4" w:color="BFBFBF"/>
              <w:left w:val="single" w:sz="4" w:color="BFBFBF"/>
              <w:bottom w:val="single" w:sz="4" w:color="BFBFBF"/>
              <w:right w:val="single" w:sz="4" w:color="BFBFBF"/>
            </w:tcBorders>
            <w:vAlign w:val="center"/>
          </w:tcPr>
          <w:p>
            <w:r>
              <w:rPr>
                <w:rFonts w:ascii="Calibri" w:hAnsi="Calibri"/>
                <w:sz w:val="20"/>
              </w:rPr>
              <w:t>PM (assurance)</w:t>
            </w:r>
          </w:p>
        </w:tc>
        <w:tc>
          <w:tcPr>
            <w:tcW w:type="dxa" w:w="7087"/>
            <w:shd w:val="clear" w:color="auto" w:fill="F2F2F2"/>
            <w:tcBorders>
              <w:top w:val="single" w:sz="4" w:color="BFBFBF"/>
              <w:left w:val="single" w:sz="4" w:color="BFBFBF"/>
              <w:bottom w:val="single" w:sz="4" w:color="BFBFBF"/>
              <w:right w:val="single" w:sz="4" w:color="BFBFBF"/>
            </w:tcBorders>
            <w:vAlign w:val="center"/>
          </w:tcPr>
          <w:p>
            <w:r>
              <w:rPr>
                <w:rFonts w:ascii="Calibri" w:hAnsi="Calibri"/>
                <w:sz w:val="20"/>
              </w:rPr>
              <w:t>Provisions Mathématiques (Vie)</w:t>
            </w:r>
          </w:p>
        </w:tc>
      </w:tr>
      <w:tr>
        <w:tc>
          <w:tcPr>
            <w:tcW w:type="dxa" w:w="1984"/>
            <w:tcBorders>
              <w:top w:val="single" w:sz="4" w:color="BFBFBF"/>
              <w:left w:val="single" w:sz="4" w:color="BFBFBF"/>
              <w:bottom w:val="single" w:sz="4" w:color="BFBFBF"/>
              <w:right w:val="single" w:sz="4" w:color="BFBFBF"/>
            </w:tcBorders>
            <w:vAlign w:val="center"/>
          </w:tcPr>
          <w:p>
            <w:r>
              <w:rPr>
                <w:rFonts w:ascii="Calibri" w:hAnsi="Calibri"/>
                <w:sz w:val="20"/>
              </w:rPr>
              <w:t>PNB</w:t>
            </w:r>
          </w:p>
        </w:tc>
        <w:tc>
          <w:tcPr>
            <w:tcW w:type="dxa" w:w="7087"/>
            <w:tcBorders>
              <w:top w:val="single" w:sz="4" w:color="BFBFBF"/>
              <w:left w:val="single" w:sz="4" w:color="BFBFBF"/>
              <w:bottom w:val="single" w:sz="4" w:color="BFBFBF"/>
              <w:right w:val="single" w:sz="4" w:color="BFBFBF"/>
            </w:tcBorders>
            <w:vAlign w:val="center"/>
          </w:tcPr>
          <w:p>
            <w:r>
              <w:rPr>
                <w:rFonts w:ascii="Calibri" w:hAnsi="Calibri"/>
                <w:sz w:val="20"/>
              </w:rPr>
              <w:t>Produit Net Bancaire (= équivalent CA pour une banque)</w:t>
            </w:r>
          </w:p>
        </w:tc>
      </w:tr>
      <w:tr>
        <w:tc>
          <w:tcPr>
            <w:tcW w:type="dxa" w:w="1984"/>
            <w:shd w:val="clear" w:color="auto" w:fill="F2F2F2"/>
            <w:tcBorders>
              <w:top w:val="single" w:sz="4" w:color="BFBFBF"/>
              <w:left w:val="single" w:sz="4" w:color="BFBFBF"/>
              <w:bottom w:val="single" w:sz="4" w:color="BFBFBF"/>
              <w:right w:val="single" w:sz="4" w:color="BFBFBF"/>
            </w:tcBorders>
            <w:vAlign w:val="center"/>
          </w:tcPr>
          <w:p>
            <w:r>
              <w:rPr>
                <w:rFonts w:ascii="Calibri" w:hAnsi="Calibri"/>
                <w:sz w:val="20"/>
              </w:rPr>
              <w:t>POC</w:t>
            </w:r>
          </w:p>
        </w:tc>
        <w:tc>
          <w:tcPr>
            <w:tcW w:type="dxa" w:w="7087"/>
            <w:shd w:val="clear" w:color="auto" w:fill="F2F2F2"/>
            <w:tcBorders>
              <w:top w:val="single" w:sz="4" w:color="BFBFBF"/>
              <w:left w:val="single" w:sz="4" w:color="BFBFBF"/>
              <w:bottom w:val="single" w:sz="4" w:color="BFBFBF"/>
              <w:right w:val="single" w:sz="4" w:color="BFBFBF"/>
            </w:tcBorders>
            <w:vAlign w:val="center"/>
          </w:tcPr>
          <w:p>
            <w:r>
              <w:rPr>
                <w:rFonts w:ascii="Calibri" w:hAnsi="Calibri"/>
                <w:sz w:val="20"/>
              </w:rPr>
              <w:t>Percentage of Completion — méthode à l'avancement (IFRS 15)</w:t>
            </w:r>
          </w:p>
        </w:tc>
      </w:tr>
      <w:tr>
        <w:tc>
          <w:tcPr>
            <w:tcW w:type="dxa" w:w="1984"/>
            <w:tcBorders>
              <w:top w:val="single" w:sz="4" w:color="BFBFBF"/>
              <w:left w:val="single" w:sz="4" w:color="BFBFBF"/>
              <w:bottom w:val="single" w:sz="4" w:color="BFBFBF"/>
              <w:right w:val="single" w:sz="4" w:color="BFBFBF"/>
            </w:tcBorders>
            <w:vAlign w:val="center"/>
          </w:tcPr>
          <w:p>
            <w:r>
              <w:rPr>
                <w:rFonts w:ascii="Calibri" w:hAnsi="Calibri"/>
                <w:sz w:val="20"/>
              </w:rPr>
              <w:t>PPNA</w:t>
            </w:r>
          </w:p>
        </w:tc>
        <w:tc>
          <w:tcPr>
            <w:tcW w:type="dxa" w:w="7087"/>
            <w:tcBorders>
              <w:top w:val="single" w:sz="4" w:color="BFBFBF"/>
              <w:left w:val="single" w:sz="4" w:color="BFBFBF"/>
              <w:bottom w:val="single" w:sz="4" w:color="BFBFBF"/>
              <w:right w:val="single" w:sz="4" w:color="BFBFBF"/>
            </w:tcBorders>
            <w:vAlign w:val="center"/>
          </w:tcPr>
          <w:p>
            <w:r>
              <w:rPr>
                <w:rFonts w:ascii="Calibri" w:hAnsi="Calibri"/>
                <w:sz w:val="20"/>
              </w:rPr>
              <w:t>Provision pour Primes Non Acquises (Non-Vie)</w:t>
            </w:r>
          </w:p>
        </w:tc>
      </w:tr>
      <w:tr>
        <w:tc>
          <w:tcPr>
            <w:tcW w:type="dxa" w:w="1984"/>
            <w:shd w:val="clear" w:color="auto" w:fill="F2F2F2"/>
            <w:tcBorders>
              <w:top w:val="single" w:sz="4" w:color="BFBFBF"/>
              <w:left w:val="single" w:sz="4" w:color="BFBFBF"/>
              <w:bottom w:val="single" w:sz="4" w:color="BFBFBF"/>
              <w:right w:val="single" w:sz="4" w:color="BFBFBF"/>
            </w:tcBorders>
            <w:vAlign w:val="center"/>
          </w:tcPr>
          <w:p>
            <w:r>
              <w:rPr>
                <w:rFonts w:ascii="Calibri" w:hAnsi="Calibri"/>
                <w:sz w:val="20"/>
              </w:rPr>
              <w:t>PREC</w:t>
            </w:r>
          </w:p>
        </w:tc>
        <w:tc>
          <w:tcPr>
            <w:tcW w:type="dxa" w:w="7087"/>
            <w:shd w:val="clear" w:color="auto" w:fill="F2F2F2"/>
            <w:tcBorders>
              <w:top w:val="single" w:sz="4" w:color="BFBFBF"/>
              <w:left w:val="single" w:sz="4" w:color="BFBFBF"/>
              <w:bottom w:val="single" w:sz="4" w:color="BFBFBF"/>
              <w:right w:val="single" w:sz="4" w:color="BFBFBF"/>
            </w:tcBorders>
            <w:vAlign w:val="center"/>
          </w:tcPr>
          <w:p>
            <w:r>
              <w:rPr>
                <w:rFonts w:ascii="Calibri" w:hAnsi="Calibri"/>
                <w:sz w:val="20"/>
              </w:rPr>
              <w:t>Provision pour Risques en Cours</w:t>
            </w:r>
          </w:p>
        </w:tc>
      </w:tr>
      <w:tr>
        <w:tc>
          <w:tcPr>
            <w:tcW w:type="dxa" w:w="1984"/>
            <w:tcBorders>
              <w:top w:val="single" w:sz="4" w:color="BFBFBF"/>
              <w:left w:val="single" w:sz="4" w:color="BFBFBF"/>
              <w:bottom w:val="single" w:sz="4" w:color="BFBFBF"/>
              <w:right w:val="single" w:sz="4" w:color="BFBFBF"/>
            </w:tcBorders>
            <w:vAlign w:val="center"/>
          </w:tcPr>
          <w:p>
            <w:r>
              <w:rPr>
                <w:rFonts w:ascii="Calibri" w:hAnsi="Calibri"/>
                <w:sz w:val="20"/>
              </w:rPr>
              <w:t>PSAP</w:t>
            </w:r>
          </w:p>
        </w:tc>
        <w:tc>
          <w:tcPr>
            <w:tcW w:type="dxa" w:w="7087"/>
            <w:tcBorders>
              <w:top w:val="single" w:sz="4" w:color="BFBFBF"/>
              <w:left w:val="single" w:sz="4" w:color="BFBFBF"/>
              <w:bottom w:val="single" w:sz="4" w:color="BFBFBF"/>
              <w:right w:val="single" w:sz="4" w:color="BFBFBF"/>
            </w:tcBorders>
            <w:vAlign w:val="center"/>
          </w:tcPr>
          <w:p>
            <w:r>
              <w:rPr>
                <w:rFonts w:ascii="Calibri" w:hAnsi="Calibri"/>
                <w:sz w:val="20"/>
              </w:rPr>
              <w:t>Provision pour Sinistres À Payer (Non-Vie)</w:t>
            </w:r>
          </w:p>
        </w:tc>
      </w:tr>
      <w:tr>
        <w:tc>
          <w:tcPr>
            <w:tcW w:type="dxa" w:w="1984"/>
            <w:shd w:val="clear" w:color="auto" w:fill="F2F2F2"/>
            <w:tcBorders>
              <w:top w:val="single" w:sz="4" w:color="BFBFBF"/>
              <w:left w:val="single" w:sz="4" w:color="BFBFBF"/>
              <w:bottom w:val="single" w:sz="4" w:color="BFBFBF"/>
              <w:right w:val="single" w:sz="4" w:color="BFBFBF"/>
            </w:tcBorders>
            <w:vAlign w:val="center"/>
          </w:tcPr>
          <w:p>
            <w:r>
              <w:rPr>
                <w:rFonts w:ascii="Calibri" w:hAnsi="Calibri"/>
                <w:sz w:val="20"/>
              </w:rPr>
              <w:t>RBE</w:t>
            </w:r>
          </w:p>
        </w:tc>
        <w:tc>
          <w:tcPr>
            <w:tcW w:type="dxa" w:w="7087"/>
            <w:shd w:val="clear" w:color="auto" w:fill="F2F2F2"/>
            <w:tcBorders>
              <w:top w:val="single" w:sz="4" w:color="BFBFBF"/>
              <w:left w:val="single" w:sz="4" w:color="BFBFBF"/>
              <w:bottom w:val="single" w:sz="4" w:color="BFBFBF"/>
              <w:right w:val="single" w:sz="4" w:color="BFBFBF"/>
            </w:tcBorders>
            <w:vAlign w:val="center"/>
          </w:tcPr>
          <w:p>
            <w:r>
              <w:rPr>
                <w:rFonts w:ascii="Calibri" w:hAnsi="Calibri"/>
                <w:sz w:val="20"/>
              </w:rPr>
              <w:t>Résultat Brut d'Exploitation (bancaire)</w:t>
            </w:r>
          </w:p>
        </w:tc>
      </w:tr>
      <w:tr>
        <w:tc>
          <w:tcPr>
            <w:tcW w:type="dxa" w:w="1984"/>
            <w:tcBorders>
              <w:top w:val="single" w:sz="4" w:color="BFBFBF"/>
              <w:left w:val="single" w:sz="4" w:color="BFBFBF"/>
              <w:bottom w:val="single" w:sz="4" w:color="BFBFBF"/>
              <w:right w:val="single" w:sz="4" w:color="BFBFBF"/>
            </w:tcBorders>
            <w:vAlign w:val="center"/>
          </w:tcPr>
          <w:p>
            <w:r>
              <w:rPr>
                <w:rFonts w:ascii="Calibri" w:hAnsi="Calibri"/>
                <w:sz w:val="20"/>
              </w:rPr>
              <w:t>RTE</w:t>
            </w:r>
          </w:p>
        </w:tc>
        <w:tc>
          <w:tcPr>
            <w:tcW w:type="dxa" w:w="7087"/>
            <w:tcBorders>
              <w:top w:val="single" w:sz="4" w:color="BFBFBF"/>
              <w:left w:val="single" w:sz="4" w:color="BFBFBF"/>
              <w:bottom w:val="single" w:sz="4" w:color="BFBFBF"/>
              <w:right w:val="single" w:sz="4" w:color="BFBFBF"/>
            </w:tcBorders>
            <w:vAlign w:val="center"/>
          </w:tcPr>
          <w:p>
            <w:r>
              <w:rPr>
                <w:rFonts w:ascii="Calibri" w:hAnsi="Calibri"/>
                <w:sz w:val="20"/>
              </w:rPr>
              <w:t>Règlement Trésor Exigible (CIMA)</w:t>
            </w:r>
          </w:p>
        </w:tc>
      </w:tr>
      <w:tr>
        <w:tc>
          <w:tcPr>
            <w:tcW w:type="dxa" w:w="1984"/>
            <w:shd w:val="clear" w:color="auto" w:fill="F2F2F2"/>
            <w:tcBorders>
              <w:top w:val="single" w:sz="4" w:color="BFBFBF"/>
              <w:left w:val="single" w:sz="4" w:color="BFBFBF"/>
              <w:bottom w:val="single" w:sz="4" w:color="BFBFBF"/>
              <w:right w:val="single" w:sz="4" w:color="BFBFBF"/>
            </w:tcBorders>
            <w:vAlign w:val="center"/>
          </w:tcPr>
          <w:p>
            <w:r>
              <w:rPr>
                <w:rFonts w:ascii="Calibri" w:hAnsi="Calibri"/>
                <w:sz w:val="20"/>
              </w:rPr>
              <w:t>RWA</w:t>
            </w:r>
          </w:p>
        </w:tc>
        <w:tc>
          <w:tcPr>
            <w:tcW w:type="dxa" w:w="7087"/>
            <w:shd w:val="clear" w:color="auto" w:fill="F2F2F2"/>
            <w:tcBorders>
              <w:top w:val="single" w:sz="4" w:color="BFBFBF"/>
              <w:left w:val="single" w:sz="4" w:color="BFBFBF"/>
              <w:bottom w:val="single" w:sz="4" w:color="BFBFBF"/>
              <w:right w:val="single" w:sz="4" w:color="BFBFBF"/>
            </w:tcBorders>
            <w:vAlign w:val="center"/>
          </w:tcPr>
          <w:p>
            <w:r>
              <w:rPr>
                <w:rFonts w:ascii="Calibri" w:hAnsi="Calibri"/>
                <w:sz w:val="20"/>
              </w:rPr>
              <w:t>Risk Weighted Assets — actifs pondérés des risques (Bâle)</w:t>
            </w:r>
          </w:p>
        </w:tc>
      </w:tr>
      <w:tr>
        <w:tc>
          <w:tcPr>
            <w:tcW w:type="dxa" w:w="1984"/>
            <w:tcBorders>
              <w:top w:val="single" w:sz="4" w:color="BFBFBF"/>
              <w:left w:val="single" w:sz="4" w:color="BFBFBF"/>
              <w:bottom w:val="single" w:sz="4" w:color="BFBFBF"/>
              <w:right w:val="single" w:sz="4" w:color="BFBFBF"/>
            </w:tcBorders>
            <w:vAlign w:val="center"/>
          </w:tcPr>
          <w:p>
            <w:r>
              <w:rPr>
                <w:rFonts w:ascii="Calibri" w:hAnsi="Calibri"/>
                <w:sz w:val="20"/>
              </w:rPr>
              <w:t>SYSCOHADA</w:t>
            </w:r>
          </w:p>
        </w:tc>
        <w:tc>
          <w:tcPr>
            <w:tcW w:type="dxa" w:w="7087"/>
            <w:tcBorders>
              <w:top w:val="single" w:sz="4" w:color="BFBFBF"/>
              <w:left w:val="single" w:sz="4" w:color="BFBFBF"/>
              <w:bottom w:val="single" w:sz="4" w:color="BFBFBF"/>
              <w:right w:val="single" w:sz="4" w:color="BFBFBF"/>
            </w:tcBorders>
            <w:vAlign w:val="center"/>
          </w:tcPr>
          <w:p>
            <w:r>
              <w:rPr>
                <w:rFonts w:ascii="Calibri" w:hAnsi="Calibri"/>
                <w:sz w:val="20"/>
              </w:rPr>
              <w:t>Système Comptable OHADA</w:t>
            </w:r>
          </w:p>
        </w:tc>
      </w:tr>
      <w:tr>
        <w:tc>
          <w:tcPr>
            <w:tcW w:type="dxa" w:w="1984"/>
            <w:shd w:val="clear" w:color="auto" w:fill="F2F2F2"/>
            <w:tcBorders>
              <w:top w:val="single" w:sz="4" w:color="BFBFBF"/>
              <w:left w:val="single" w:sz="4" w:color="BFBFBF"/>
              <w:bottom w:val="single" w:sz="4" w:color="BFBFBF"/>
              <w:right w:val="single" w:sz="4" w:color="BFBFBF"/>
            </w:tcBorders>
            <w:vAlign w:val="center"/>
          </w:tcPr>
          <w:p>
            <w:r>
              <w:rPr>
                <w:rFonts w:ascii="Calibri" w:hAnsi="Calibri"/>
                <w:sz w:val="20"/>
              </w:rPr>
              <w:t>T2A</w:t>
            </w:r>
          </w:p>
        </w:tc>
        <w:tc>
          <w:tcPr>
            <w:tcW w:type="dxa" w:w="7087"/>
            <w:shd w:val="clear" w:color="auto" w:fill="F2F2F2"/>
            <w:tcBorders>
              <w:top w:val="single" w:sz="4" w:color="BFBFBF"/>
              <w:left w:val="single" w:sz="4" w:color="BFBFBF"/>
              <w:bottom w:val="single" w:sz="4" w:color="BFBFBF"/>
              <w:right w:val="single" w:sz="4" w:color="BFBFBF"/>
            </w:tcBorders>
            <w:vAlign w:val="center"/>
          </w:tcPr>
          <w:p>
            <w:r>
              <w:rPr>
                <w:rFonts w:ascii="Calibri" w:hAnsi="Calibri"/>
                <w:sz w:val="20"/>
              </w:rPr>
              <w:t>Tarification À l'Activité (hôpital)</w:t>
            </w:r>
          </w:p>
        </w:tc>
      </w:tr>
      <w:tr>
        <w:tc>
          <w:tcPr>
            <w:tcW w:type="dxa" w:w="1984"/>
            <w:tcBorders>
              <w:top w:val="single" w:sz="4" w:color="BFBFBF"/>
              <w:left w:val="single" w:sz="4" w:color="BFBFBF"/>
              <w:bottom w:val="single" w:sz="4" w:color="BFBFBF"/>
              <w:right w:val="single" w:sz="4" w:color="BFBFBF"/>
            </w:tcBorders>
            <w:vAlign w:val="center"/>
          </w:tcPr>
          <w:p>
            <w:r>
              <w:rPr>
                <w:rFonts w:ascii="Calibri" w:hAnsi="Calibri"/>
                <w:sz w:val="20"/>
              </w:rPr>
              <w:t>TAF</w:t>
            </w:r>
          </w:p>
        </w:tc>
        <w:tc>
          <w:tcPr>
            <w:tcW w:type="dxa" w:w="7087"/>
            <w:tcBorders>
              <w:top w:val="single" w:sz="4" w:color="BFBFBF"/>
              <w:left w:val="single" w:sz="4" w:color="BFBFBF"/>
              <w:bottom w:val="single" w:sz="4" w:color="BFBFBF"/>
              <w:right w:val="single" w:sz="4" w:color="BFBFBF"/>
            </w:tcBorders>
            <w:vAlign w:val="center"/>
          </w:tcPr>
          <w:p>
            <w:r>
              <w:rPr>
                <w:rFonts w:ascii="Calibri" w:hAnsi="Calibri"/>
                <w:sz w:val="20"/>
              </w:rPr>
              <w:t>Taxe sur les Activités Financières</w:t>
            </w:r>
          </w:p>
        </w:tc>
      </w:tr>
      <w:tr>
        <w:tc>
          <w:tcPr>
            <w:tcW w:type="dxa" w:w="1984"/>
            <w:shd w:val="clear" w:color="auto" w:fill="F2F2F2"/>
            <w:tcBorders>
              <w:top w:val="single" w:sz="4" w:color="BFBFBF"/>
              <w:left w:val="single" w:sz="4" w:color="BFBFBF"/>
              <w:bottom w:val="single" w:sz="4" w:color="BFBFBF"/>
              <w:right w:val="single" w:sz="4" w:color="BFBFBF"/>
            </w:tcBorders>
            <w:vAlign w:val="center"/>
          </w:tcPr>
          <w:p>
            <w:r>
              <w:rPr>
                <w:rFonts w:ascii="Calibri" w:hAnsi="Calibri"/>
                <w:sz w:val="20"/>
              </w:rPr>
              <w:t>TJM</w:t>
            </w:r>
          </w:p>
        </w:tc>
        <w:tc>
          <w:tcPr>
            <w:tcW w:type="dxa" w:w="7087"/>
            <w:shd w:val="clear" w:color="auto" w:fill="F2F2F2"/>
            <w:tcBorders>
              <w:top w:val="single" w:sz="4" w:color="BFBFBF"/>
              <w:left w:val="single" w:sz="4" w:color="BFBFBF"/>
              <w:bottom w:val="single" w:sz="4" w:color="BFBFBF"/>
              <w:right w:val="single" w:sz="4" w:color="BFBFBF"/>
            </w:tcBorders>
            <w:vAlign w:val="center"/>
          </w:tcPr>
          <w:p>
            <w:r>
              <w:rPr>
                <w:rFonts w:ascii="Calibri" w:hAnsi="Calibri"/>
                <w:sz w:val="20"/>
              </w:rPr>
              <w:t>Taux Journalier Moyen (consulting)</w:t>
            </w:r>
          </w:p>
        </w:tc>
      </w:tr>
      <w:tr>
        <w:tc>
          <w:tcPr>
            <w:tcW w:type="dxa" w:w="1984"/>
            <w:tcBorders>
              <w:top w:val="single" w:sz="4" w:color="BFBFBF"/>
              <w:left w:val="single" w:sz="4" w:color="BFBFBF"/>
              <w:bottom w:val="single" w:sz="4" w:color="BFBFBF"/>
              <w:right w:val="single" w:sz="4" w:color="BFBFBF"/>
            </w:tcBorders>
            <w:vAlign w:val="center"/>
          </w:tcPr>
          <w:p>
            <w:r>
              <w:rPr>
                <w:rFonts w:ascii="Calibri" w:hAnsi="Calibri"/>
                <w:sz w:val="20"/>
              </w:rPr>
              <w:t>TPV</w:t>
            </w:r>
          </w:p>
        </w:tc>
        <w:tc>
          <w:tcPr>
            <w:tcW w:type="dxa" w:w="7087"/>
            <w:tcBorders>
              <w:top w:val="single" w:sz="4" w:color="BFBFBF"/>
              <w:left w:val="single" w:sz="4" w:color="BFBFBF"/>
              <w:bottom w:val="single" w:sz="4" w:color="BFBFBF"/>
              <w:right w:val="single" w:sz="4" w:color="BFBFBF"/>
            </w:tcBorders>
            <w:vAlign w:val="center"/>
          </w:tcPr>
          <w:p>
            <w:r>
              <w:rPr>
                <w:rFonts w:ascii="Calibri" w:hAnsi="Calibri"/>
                <w:sz w:val="20"/>
              </w:rPr>
              <w:t>Total Payment Volume — volume total de paiement (fintech)</w:t>
            </w:r>
          </w:p>
        </w:tc>
      </w:tr>
      <w:tr>
        <w:tc>
          <w:tcPr>
            <w:tcW w:type="dxa" w:w="1984"/>
            <w:shd w:val="clear" w:color="auto" w:fill="F2F2F2"/>
            <w:tcBorders>
              <w:top w:val="single" w:sz="4" w:color="BFBFBF"/>
              <w:left w:val="single" w:sz="4" w:color="BFBFBF"/>
              <w:bottom w:val="single" w:sz="4" w:color="BFBFBF"/>
              <w:right w:val="single" w:sz="4" w:color="BFBFBF"/>
            </w:tcBorders>
            <w:vAlign w:val="center"/>
          </w:tcPr>
          <w:p>
            <w:r>
              <w:rPr>
                <w:rFonts w:ascii="Calibri" w:hAnsi="Calibri"/>
                <w:sz w:val="20"/>
              </w:rPr>
              <w:t>UEMOA</w:t>
            </w:r>
          </w:p>
        </w:tc>
        <w:tc>
          <w:tcPr>
            <w:tcW w:type="dxa" w:w="7087"/>
            <w:shd w:val="clear" w:color="auto" w:fill="F2F2F2"/>
            <w:tcBorders>
              <w:top w:val="single" w:sz="4" w:color="BFBFBF"/>
              <w:left w:val="single" w:sz="4" w:color="BFBFBF"/>
              <w:bottom w:val="single" w:sz="4" w:color="BFBFBF"/>
              <w:right w:val="single" w:sz="4" w:color="BFBFBF"/>
            </w:tcBorders>
            <w:vAlign w:val="center"/>
          </w:tcPr>
          <w:p>
            <w:r>
              <w:rPr>
                <w:rFonts w:ascii="Calibri" w:hAnsi="Calibri"/>
                <w:sz w:val="20"/>
              </w:rPr>
              <w:t>Union Économique et Monétaire Ouest-Africaine</w:t>
            </w:r>
          </w:p>
        </w:tc>
      </w:tr>
      <w:tr>
        <w:tc>
          <w:tcPr>
            <w:tcW w:type="dxa" w:w="1984"/>
            <w:tcBorders>
              <w:top w:val="single" w:sz="4" w:color="BFBFBF"/>
              <w:left w:val="single" w:sz="4" w:color="BFBFBF"/>
              <w:bottom w:val="single" w:sz="4" w:color="BFBFBF"/>
              <w:right w:val="single" w:sz="4" w:color="BFBFBF"/>
            </w:tcBorders>
            <w:vAlign w:val="center"/>
          </w:tcPr>
          <w:p>
            <w:r>
              <w:rPr>
                <w:rFonts w:ascii="Calibri" w:hAnsi="Calibri"/>
                <w:sz w:val="20"/>
              </w:rPr>
              <w:t>CEMAC</w:t>
            </w:r>
          </w:p>
        </w:tc>
        <w:tc>
          <w:tcPr>
            <w:tcW w:type="dxa" w:w="7087"/>
            <w:tcBorders>
              <w:top w:val="single" w:sz="4" w:color="BFBFBF"/>
              <w:left w:val="single" w:sz="4" w:color="BFBFBF"/>
              <w:bottom w:val="single" w:sz="4" w:color="BFBFBF"/>
              <w:right w:val="single" w:sz="4" w:color="BFBFBF"/>
            </w:tcBorders>
            <w:vAlign w:val="center"/>
          </w:tcPr>
          <w:p>
            <w:r>
              <w:rPr>
                <w:rFonts w:ascii="Calibri" w:hAnsi="Calibri"/>
                <w:sz w:val="20"/>
              </w:rPr>
              <w:t>Communauté Économique et Monétaire de l'Afrique Centrale</w:t>
            </w:r>
          </w:p>
        </w:tc>
      </w:tr>
    </w:tbl>
    <w:p>
      <w:pPr>
        <w:spacing w:after="120"/>
      </w:pPr>
    </w:p>
    <w:p>
      <w:pPr>
        <w:pStyle w:val="Heading2"/>
        <w:spacing w:before="240" w:after="120"/>
      </w:pPr>
      <w:r>
        <w:rPr>
          <w:rFonts w:ascii="Calibri" w:hAnsi="Calibri"/>
          <w:b/>
          <w:color w:val="0A2540"/>
          <w:sz w:val="30"/>
        </w:rPr>
        <w:t>8.2 Sources réglementaires de référence</w:t>
      </w:r>
    </w:p>
    <w:p>
      <w:pPr>
        <w:pStyle w:val="ListBullet"/>
        <w:spacing w:after="60"/>
        <w:ind w:left="340"/>
      </w:pPr>
      <w:r>
        <w:rPr>
          <w:rFonts w:ascii="Calibri" w:hAnsi="Calibri"/>
          <w:sz w:val="22"/>
        </w:rPr>
        <w:t>Acte uniforme OHADA portant organisation et harmonisation des comptabilités des entreprises (SYSCOHADA Révisé 2017)</w:t>
      </w:r>
    </w:p>
    <w:p>
      <w:pPr>
        <w:pStyle w:val="ListBullet"/>
        <w:spacing w:after="60"/>
        <w:ind w:left="340"/>
      </w:pPr>
      <w:r>
        <w:rPr>
          <w:rFonts w:ascii="Calibri" w:hAnsi="Calibri"/>
          <w:sz w:val="22"/>
        </w:rPr>
        <w:t>Code des Assurances CIMA — version consolidée à jour, complété par les directives CRCA</w:t>
      </w:r>
    </w:p>
    <w:p>
      <w:pPr>
        <w:pStyle w:val="ListBullet"/>
        <w:spacing w:after="60"/>
        <w:ind w:left="340"/>
      </w:pPr>
      <w:r>
        <w:rPr>
          <w:rFonts w:ascii="Calibri" w:hAnsi="Calibri"/>
          <w:sz w:val="22"/>
        </w:rPr>
        <w:t>Plan Comptable Bancaire BCEAO (PCB) — version 2020, harmonisé avec les IFRS pour les états consolidés</w:t>
      </w:r>
    </w:p>
    <w:p>
      <w:pPr>
        <w:pStyle w:val="ListBullet"/>
        <w:spacing w:after="60"/>
        <w:ind w:left="340"/>
      </w:pPr>
      <w:r>
        <w:rPr>
          <w:rFonts w:ascii="Calibri" w:hAnsi="Calibri"/>
          <w:sz w:val="22"/>
        </w:rPr>
        <w:t>Bâle III — Basel Committee on Banking Supervision, transposition BCEAO/COBAC</w:t>
      </w:r>
    </w:p>
    <w:p>
      <w:pPr>
        <w:pStyle w:val="ListBullet"/>
        <w:spacing w:after="60"/>
        <w:ind w:left="340"/>
      </w:pPr>
      <w:r>
        <w:rPr>
          <w:rFonts w:ascii="Calibri" w:hAnsi="Calibri"/>
          <w:sz w:val="22"/>
        </w:rPr>
        <w:t>IFRS — IFRS Foundation, normes IAS et IFRS applicables</w:t>
      </w:r>
    </w:p>
    <w:p>
      <w:pPr>
        <w:pStyle w:val="ListBullet"/>
        <w:spacing w:after="60"/>
        <w:ind w:left="340"/>
      </w:pPr>
      <w:r>
        <w:rPr>
          <w:rFonts w:ascii="Calibri" w:hAnsi="Calibri"/>
          <w:sz w:val="22"/>
        </w:rPr>
        <w:t>Codes généraux des impôts UEMOA et CEMAC — par pays (lois de finances annuelles)</w:t>
      </w:r>
    </w:p>
    <w:p>
      <w:pPr>
        <w:pStyle w:val="ListBullet"/>
        <w:spacing w:after="60"/>
        <w:ind w:left="340"/>
      </w:pPr>
      <w:r>
        <w:rPr>
          <w:rFonts w:ascii="Calibri" w:hAnsi="Calibri"/>
          <w:sz w:val="22"/>
        </w:rPr>
        <w:t>Codes des investissements — par pays, régimes d'incitation fiscale</w:t>
      </w:r>
    </w:p>
    <w:p>
      <w:pPr>
        <w:pStyle w:val="ListBullet"/>
        <w:spacing w:after="60"/>
        <w:ind w:left="340"/>
      </w:pPr>
      <w:r>
        <w:rPr>
          <w:rFonts w:ascii="Calibri" w:hAnsi="Calibri"/>
          <w:sz w:val="22"/>
        </w:rPr>
        <w:t>Actes uniformes OHADA — sociétés commerciales, sûretés, recouvrement, procédures collectives, droit commercial</w:t>
      </w:r>
    </w:p>
    <w:p>
      <w:pPr>
        <w:pStyle w:val="Heading2"/>
        <w:spacing w:before="240" w:after="120"/>
      </w:pPr>
      <w:r>
        <w:rPr>
          <w:rFonts w:ascii="Calibri" w:hAnsi="Calibri"/>
          <w:b/>
          <w:color w:val="0A2540"/>
          <w:sz w:val="30"/>
        </w:rPr>
        <w:t>8.3 Modèles Excel livrés en annexe</w:t>
      </w:r>
    </w:p>
    <w:p>
      <w:pPr>
        <w:spacing w:before="0" w:after="120"/>
        <w:jc w:val="both"/>
      </w:pPr>
      <w:r>
        <w:rPr>
          <w:rFonts w:ascii="Calibri" w:hAnsi="Calibri"/>
          <w:b w:val="0"/>
          <w:i w:val="0"/>
          <w:color w:val="000000"/>
          <w:sz w:val="22"/>
        </w:rPr>
        <w:t>Les modèles Excel suivants sont livrés en annexe de ce document pour servir de référence aux équipes de développement et de point de départ aux utilisateurs métier. Chaque modèle est entièrement opérationnel (calculs en formules natives, zéro erreur), illustre la mise en œuvre des règles de calcul exposées dans la fiche sectorielle correspondante, et est utilisable directement dans Excel.</w:t>
      </w:r>
    </w:p>
    <w:p>
      <w:pPr>
        <w:pStyle w:val="Heading2"/>
        <w:spacing w:before="240" w:after="120"/>
      </w:pPr>
      <w:r>
        <w:rPr>
          <w:rFonts w:ascii="Calibri" w:hAnsi="Calibri"/>
          <w:b/>
          <w:color w:val="0A2540"/>
          <w:sz w:val="30"/>
        </w:rPr>
        <w:t>8.4 Note méthodologique sur l'usage du document</w:t>
      </w:r>
    </w:p>
    <w:p>
      <w:pPr>
        <w:spacing w:before="0" w:after="120"/>
        <w:jc w:val="both"/>
      </w:pPr>
      <w:r>
        <w:rPr>
          <w:rFonts w:ascii="Calibri" w:hAnsi="Calibri"/>
          <w:b w:val="0"/>
          <w:i w:val="0"/>
          <w:color w:val="000000"/>
          <w:sz w:val="22"/>
        </w:rPr>
        <w:t>Ce document est conçu pour servir trois usages complémentaires :</w:t>
      </w:r>
    </w:p>
    <w:p>
      <w:pPr>
        <w:pStyle w:val="ListBullet"/>
        <w:spacing w:after="60"/>
        <w:ind w:left="340"/>
      </w:pPr>
      <w:r>
        <w:rPr>
          <w:rFonts w:ascii="Calibri" w:hAnsi="Calibri"/>
          <w:sz w:val="22"/>
        </w:rPr>
        <w:t>Brief pour l'équipe de développement : il définit le périmètre fonctionnel, les règles de calcul, l'architecture cible et la roadmap.</w:t>
      </w:r>
    </w:p>
    <w:p>
      <w:pPr>
        <w:pStyle w:val="ListBullet"/>
        <w:spacing w:after="60"/>
        <w:ind w:left="340"/>
      </w:pPr>
      <w:r>
        <w:rPr>
          <w:rFonts w:ascii="Calibri" w:hAnsi="Calibri"/>
          <w:sz w:val="22"/>
        </w:rPr>
        <w:t>Référence métier pour la direction et les utilisateurs avancés : il documente les hypothèses, KPIs et règles applicables à chaque secteur.</w:t>
      </w:r>
    </w:p>
    <w:p>
      <w:pPr>
        <w:pStyle w:val="ListBullet"/>
        <w:spacing w:after="60"/>
        <w:ind w:left="340"/>
      </w:pPr>
      <w:r>
        <w:rPr>
          <w:rFonts w:ascii="Calibri" w:hAnsi="Calibri"/>
          <w:sz w:val="22"/>
        </w:rPr>
        <w:t>Cahier des charges contractuel pour les prestataires externes : il peut être annexé à un appel d'offres ou à un contrat de développement.</w:t>
      </w:r>
    </w:p>
    <w:p>
      <w:pPr>
        <w:spacing w:before="0" w:after="120"/>
        <w:jc w:val="both"/>
      </w:pPr>
      <w:r>
        <w:rPr>
          <w:rFonts w:ascii="Calibri" w:hAnsi="Calibri"/>
          <w:b w:val="0"/>
          <w:i w:val="0"/>
          <w:color w:val="000000"/>
          <w:sz w:val="22"/>
        </w:rPr>
        <w:t>Le document est versionné. Toute évolution majeure (ajout de secteur, modification réglementaire impactante, refonte architecturale) doit donner lieu à une nouvelle version validée par le sponsor (CEO H&amp;C Group), le responsable produit et l'expert métier référent.</w:t>
      </w:r>
    </w:p>
    <w:tbl>
      <w:tblPr>
        <w:tblW w:type="auto" w:w="0"/>
        <w:tblLook w:firstColumn="1" w:firstRow="1" w:lastColumn="0" w:lastRow="0" w:noHBand="0" w:noVBand="1" w:val="04A0"/>
      </w:tblPr>
      <w:tblGrid>
        <w:gridCol w:w="9406"/>
      </w:tblGrid>
      <w:tr>
        <w:tc>
          <w:tcPr>
            <w:tcW w:type="dxa" w:w="9406"/>
            <w:shd w:val="clear" w:color="auto" w:fill="D6E0EC"/>
            <w:tcBorders>
              <w:top w:val="single" w:sz="12" w:color="0A2540"/>
              <w:bottom w:val="single" w:sz="4" w:color="0A2540"/>
              <w:left w:val="single" w:sz="24" w:color="0A2540"/>
              <w:right w:val="single" w:sz="4" w:color="0A2540"/>
            </w:tcBorders>
          </w:tcPr>
          <w:p>
            <w:r>
              <w:rPr>
                <w:rFonts w:ascii="Calibri" w:hAnsi="Calibri"/>
                <w:b/>
                <w:color w:val="0A2540"/>
                <w:sz w:val="22"/>
              </w:rPr>
              <w:t>Évolutions à venir</w:t>
            </w:r>
          </w:p>
          <w:p>
            <w:pPr>
              <w:jc w:val="both"/>
            </w:pPr>
            <w:r>
              <w:rPr>
                <w:rFonts w:ascii="Calibri" w:hAnsi="Calibri"/>
                <w:sz w:val="22"/>
              </w:rPr>
              <w:t>Plusieurs sujets sont identifiés comme évolutions futures à intégrer aux versions ultérieures : (1) intégration nativement des normes IFRS 17 (assurance) en remplacement progressif du référentiel CIMA actuel ; (2) ajout du secteur Énergie (production, distribution électrique, hydrocarbures) ; (3) ajout du secteur Agriculture &amp; Agro-business intégré (chaînes de valeur) ; (4) intégration ESG et reporting CSRD ; (5) module IA d'assistance à la modélisation (génération automatique d'hypothèses à partir de données historiques).</w:t>
            </w:r>
          </w:p>
        </w:tc>
      </w:tr>
    </w:tbl>
    <w:p>
      <w:pPr>
        <w:spacing w:after="120"/>
      </w:pPr>
    </w:p>
    <w:sectPr w:rsidR="00FC693F" w:rsidRPr="0006063C" w:rsidSect="00034616">
      <w:footerReference w:type="default" r:id="rId9"/>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95959"/>
        <w:sz w:val="18"/>
      </w:rPr>
      <w:t xml:space="preserve">H&amp;C Group — Outil de modélisation financière multisectoriel — </w:t>
    </w:r>
    <w:r>
      <w:rPr>
        <w:color w:val="595959"/>
        <w:sz w:val="18"/>
      </w:rPr>
      <w:fldSimple w:instr="PAGE"/>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