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57DA2" w14:textId="77777777" w:rsidR="004B0864" w:rsidRPr="004B0864" w:rsidRDefault="004B0864" w:rsidP="004B0864">
      <w:pPr>
        <w:rPr>
          <w:b/>
          <w:bCs/>
          <w:u w:val="single"/>
          <w:lang w:val="es-PE"/>
        </w:rPr>
      </w:pPr>
    </w:p>
    <w:p w14:paraId="041187D2" w14:textId="11709B4D" w:rsidR="004B0864" w:rsidRPr="004B0864" w:rsidRDefault="004B0864" w:rsidP="004B0864">
      <w:pPr>
        <w:jc w:val="center"/>
        <w:rPr>
          <w:b/>
          <w:bCs/>
          <w:u w:val="single"/>
          <w:lang w:val="es-PE"/>
        </w:rPr>
      </w:pPr>
      <w:r w:rsidRPr="004B0864">
        <w:rPr>
          <w:b/>
          <w:bCs/>
          <w:u w:val="single"/>
          <w:lang w:val="es-PE"/>
        </w:rPr>
        <w:t>ECONOMETRÍA APLICADA AVANZADA</w:t>
      </w:r>
    </w:p>
    <w:p w14:paraId="521153E1" w14:textId="77777777" w:rsidR="004B0864" w:rsidRPr="004B0864" w:rsidRDefault="004B0864" w:rsidP="004B0864">
      <w:pPr>
        <w:rPr>
          <w:b/>
          <w:bCs/>
          <w:u w:val="single"/>
          <w:lang w:val="es-PE"/>
        </w:rPr>
      </w:pPr>
    </w:p>
    <w:p w14:paraId="38342918" w14:textId="51B09518" w:rsidR="004B0864" w:rsidRPr="004B0864" w:rsidRDefault="004B0864" w:rsidP="004B0864">
      <w:pPr>
        <w:rPr>
          <w:b/>
          <w:bCs/>
          <w:lang w:val="es-PE"/>
        </w:rPr>
      </w:pPr>
      <w:r w:rsidRPr="004B0864">
        <w:rPr>
          <w:b/>
          <w:bCs/>
          <w:lang w:val="es-PE"/>
        </w:rPr>
        <w:t>CONTROL DE LECTURA</w:t>
      </w:r>
      <w:r w:rsidRPr="004B0864">
        <w:rPr>
          <w:b/>
          <w:bCs/>
          <w:lang w:val="es-PE"/>
        </w:rPr>
        <w:t xml:space="preserve">: </w:t>
      </w:r>
      <w:proofErr w:type="spellStart"/>
      <w:r w:rsidRPr="004B0864">
        <w:rPr>
          <w:b/>
          <w:bCs/>
          <w:lang w:val="es-PE"/>
        </w:rPr>
        <w:t>Synthetic</w:t>
      </w:r>
      <w:proofErr w:type="spellEnd"/>
      <w:r w:rsidRPr="004B0864">
        <w:rPr>
          <w:b/>
          <w:bCs/>
          <w:lang w:val="es-PE"/>
        </w:rPr>
        <w:t xml:space="preserve"> Control </w:t>
      </w:r>
      <w:proofErr w:type="spellStart"/>
      <w:r w:rsidRPr="004B0864">
        <w:rPr>
          <w:b/>
          <w:bCs/>
          <w:lang w:val="es-PE"/>
        </w:rPr>
        <w:t>Method</w:t>
      </w:r>
      <w:proofErr w:type="spellEnd"/>
    </w:p>
    <w:p w14:paraId="7EEB1F8E" w14:textId="473830AF" w:rsidR="000E6C07" w:rsidRPr="004B0864" w:rsidRDefault="000E6C07" w:rsidP="004B0864">
      <w:pPr>
        <w:rPr>
          <w:i/>
          <w:iCs/>
          <w:lang w:val="es-PE"/>
        </w:rPr>
      </w:pPr>
      <w:r w:rsidRPr="004F051B">
        <w:rPr>
          <w:b/>
          <w:bCs/>
          <w:u w:val="single"/>
        </w:rPr>
        <w:t xml:space="preserve">Control de </w:t>
      </w:r>
      <w:r w:rsidR="007F3BD5">
        <w:rPr>
          <w:b/>
          <w:bCs/>
          <w:u w:val="single"/>
        </w:rPr>
        <w:t>L</w:t>
      </w:r>
      <w:r w:rsidRPr="004F051B">
        <w:rPr>
          <w:b/>
          <w:bCs/>
          <w:u w:val="single"/>
        </w:rPr>
        <w:t>ectura</w:t>
      </w:r>
      <w:r w:rsidR="004F051B" w:rsidRPr="004F051B">
        <w:rPr>
          <w:b/>
          <w:bCs/>
          <w:u w:val="single"/>
        </w:rPr>
        <w:t xml:space="preserve"> (</w:t>
      </w:r>
      <w:r w:rsidR="00B70758">
        <w:rPr>
          <w:b/>
          <w:bCs/>
          <w:u w:val="single"/>
        </w:rPr>
        <w:t>40</w:t>
      </w:r>
      <w:r w:rsidR="004F051B" w:rsidRPr="004F051B">
        <w:rPr>
          <w:b/>
          <w:bCs/>
          <w:u w:val="single"/>
        </w:rPr>
        <w:t xml:space="preserve"> mins)</w:t>
      </w:r>
      <w:r w:rsidR="004B0864">
        <w:rPr>
          <w:b/>
          <w:bCs/>
          <w:u w:val="single"/>
        </w:rPr>
        <w:t>:</w:t>
      </w:r>
      <w:r w:rsidR="004B0864">
        <w:t xml:space="preserve"> </w:t>
      </w:r>
      <w:proofErr w:type="spellStart"/>
      <w:r w:rsidR="004B0864" w:rsidRPr="00C47BCA">
        <w:rPr>
          <w:b/>
          <w:bCs/>
          <w:i/>
          <w:iCs/>
          <w:lang w:val="es-PE"/>
        </w:rPr>
        <w:t>Synthetic</w:t>
      </w:r>
      <w:proofErr w:type="spellEnd"/>
      <w:r w:rsidR="004B0864" w:rsidRPr="00C47BCA">
        <w:rPr>
          <w:b/>
          <w:bCs/>
          <w:i/>
          <w:iCs/>
          <w:lang w:val="es-PE"/>
        </w:rPr>
        <w:t xml:space="preserve"> Control </w:t>
      </w:r>
      <w:proofErr w:type="spellStart"/>
      <w:r w:rsidR="004B0864" w:rsidRPr="00C47BCA">
        <w:rPr>
          <w:b/>
          <w:bCs/>
          <w:i/>
          <w:iCs/>
          <w:lang w:val="es-PE"/>
        </w:rPr>
        <w:t>Methods</w:t>
      </w:r>
      <w:proofErr w:type="spellEnd"/>
      <w:r w:rsidR="004B0864" w:rsidRPr="00C47BCA">
        <w:rPr>
          <w:b/>
          <w:bCs/>
          <w:i/>
          <w:iCs/>
          <w:lang w:val="es-PE"/>
        </w:rPr>
        <w:t xml:space="preserve"> </w:t>
      </w:r>
      <w:proofErr w:type="spellStart"/>
      <w:r w:rsidR="004B0864" w:rsidRPr="00C47BCA">
        <w:rPr>
          <w:b/>
          <w:bCs/>
          <w:i/>
          <w:iCs/>
          <w:lang w:val="es-PE"/>
        </w:rPr>
        <w:t>for</w:t>
      </w:r>
      <w:proofErr w:type="spellEnd"/>
      <w:r w:rsidR="004B0864" w:rsidRPr="00C47BCA">
        <w:rPr>
          <w:b/>
          <w:bCs/>
          <w:i/>
          <w:iCs/>
          <w:lang w:val="es-PE"/>
        </w:rPr>
        <w:t xml:space="preserve"> Comparative</w:t>
      </w:r>
      <w:r w:rsidR="004B0864" w:rsidRPr="00C47BCA">
        <w:rPr>
          <w:b/>
          <w:bCs/>
          <w:i/>
          <w:iCs/>
          <w:lang w:val="es-PE"/>
        </w:rPr>
        <w:t xml:space="preserve"> </w:t>
      </w:r>
      <w:r w:rsidR="004B0864" w:rsidRPr="004B0864">
        <w:rPr>
          <w:b/>
          <w:bCs/>
          <w:i/>
          <w:iCs/>
          <w:lang w:val="es-PE"/>
        </w:rPr>
        <w:t xml:space="preserve">Case </w:t>
      </w:r>
      <w:proofErr w:type="spellStart"/>
      <w:r w:rsidR="004B0864" w:rsidRPr="004B0864">
        <w:rPr>
          <w:b/>
          <w:bCs/>
          <w:i/>
          <w:iCs/>
          <w:lang w:val="es-PE"/>
        </w:rPr>
        <w:t>Studies</w:t>
      </w:r>
      <w:proofErr w:type="spellEnd"/>
      <w:r w:rsidR="004B0864" w:rsidRPr="004B0864">
        <w:rPr>
          <w:b/>
          <w:bCs/>
          <w:i/>
          <w:iCs/>
          <w:lang w:val="es-PE"/>
        </w:rPr>
        <w:t xml:space="preserve">: </w:t>
      </w:r>
      <w:proofErr w:type="spellStart"/>
      <w:r w:rsidR="004B0864" w:rsidRPr="004B0864">
        <w:rPr>
          <w:b/>
          <w:bCs/>
          <w:i/>
          <w:iCs/>
          <w:lang w:val="es-PE"/>
        </w:rPr>
        <w:t>Estimating</w:t>
      </w:r>
      <w:proofErr w:type="spellEnd"/>
      <w:r w:rsidR="004B0864" w:rsidRPr="004B0864">
        <w:rPr>
          <w:b/>
          <w:bCs/>
          <w:i/>
          <w:iCs/>
          <w:lang w:val="es-PE"/>
        </w:rPr>
        <w:t xml:space="preserve"> </w:t>
      </w:r>
      <w:proofErr w:type="spellStart"/>
      <w:r w:rsidR="004B0864" w:rsidRPr="004B0864">
        <w:rPr>
          <w:b/>
          <w:bCs/>
          <w:i/>
          <w:iCs/>
          <w:lang w:val="es-PE"/>
        </w:rPr>
        <w:t>the</w:t>
      </w:r>
      <w:proofErr w:type="spellEnd"/>
      <w:r w:rsidR="004B0864" w:rsidRPr="004B0864">
        <w:rPr>
          <w:b/>
          <w:bCs/>
          <w:i/>
          <w:iCs/>
          <w:lang w:val="es-PE"/>
        </w:rPr>
        <w:t xml:space="preserve"> </w:t>
      </w:r>
      <w:proofErr w:type="spellStart"/>
      <w:r w:rsidR="004B0864" w:rsidRPr="004B0864">
        <w:rPr>
          <w:b/>
          <w:bCs/>
          <w:i/>
          <w:iCs/>
          <w:lang w:val="es-PE"/>
        </w:rPr>
        <w:t>Effect</w:t>
      </w:r>
      <w:proofErr w:type="spellEnd"/>
      <w:r w:rsidR="004B0864" w:rsidRPr="004B0864">
        <w:rPr>
          <w:b/>
          <w:bCs/>
          <w:i/>
          <w:iCs/>
          <w:lang w:val="es-PE"/>
        </w:rPr>
        <w:t xml:space="preserve"> </w:t>
      </w:r>
      <w:proofErr w:type="spellStart"/>
      <w:r w:rsidR="004B0864" w:rsidRPr="004B0864">
        <w:rPr>
          <w:b/>
          <w:bCs/>
          <w:i/>
          <w:iCs/>
          <w:lang w:val="es-PE"/>
        </w:rPr>
        <w:t>of</w:t>
      </w:r>
      <w:proofErr w:type="spellEnd"/>
      <w:r w:rsidR="004B0864" w:rsidRPr="004B0864">
        <w:rPr>
          <w:b/>
          <w:bCs/>
          <w:i/>
          <w:iCs/>
          <w:lang w:val="es-PE"/>
        </w:rPr>
        <w:t xml:space="preserve"> </w:t>
      </w:r>
      <w:proofErr w:type="spellStart"/>
      <w:r w:rsidR="004B0864" w:rsidRPr="004B0864">
        <w:rPr>
          <w:b/>
          <w:bCs/>
          <w:i/>
          <w:iCs/>
          <w:lang w:val="es-PE"/>
        </w:rPr>
        <w:t>California’s</w:t>
      </w:r>
      <w:proofErr w:type="spellEnd"/>
      <w:r w:rsidR="004B0864" w:rsidRPr="00C47BCA">
        <w:rPr>
          <w:b/>
          <w:bCs/>
          <w:i/>
          <w:iCs/>
          <w:lang w:val="es-PE"/>
        </w:rPr>
        <w:t xml:space="preserve"> </w:t>
      </w:r>
      <w:proofErr w:type="spellStart"/>
      <w:r w:rsidR="004B0864" w:rsidRPr="00C47BCA">
        <w:rPr>
          <w:b/>
          <w:bCs/>
          <w:i/>
          <w:iCs/>
          <w:lang w:val="es-PE"/>
        </w:rPr>
        <w:t>Tobacco</w:t>
      </w:r>
      <w:proofErr w:type="spellEnd"/>
      <w:r w:rsidR="004B0864" w:rsidRPr="00C47BCA">
        <w:rPr>
          <w:b/>
          <w:bCs/>
          <w:i/>
          <w:iCs/>
          <w:lang w:val="es-PE"/>
        </w:rPr>
        <w:t xml:space="preserve"> Control </w:t>
      </w:r>
      <w:proofErr w:type="spellStart"/>
      <w:r w:rsidR="004B0864" w:rsidRPr="00C47BCA">
        <w:rPr>
          <w:b/>
          <w:bCs/>
          <w:i/>
          <w:iCs/>
          <w:lang w:val="es-PE"/>
        </w:rPr>
        <w:t>Program</w:t>
      </w:r>
      <w:proofErr w:type="spellEnd"/>
    </w:p>
    <w:p w14:paraId="08C6EAAC" w14:textId="77777777" w:rsidR="004F051B" w:rsidRPr="004F051B" w:rsidRDefault="004F051B">
      <w:pPr>
        <w:rPr>
          <w:b/>
          <w:bCs/>
          <w:u w:val="single"/>
        </w:rPr>
      </w:pPr>
    </w:p>
    <w:p w14:paraId="7F5D4AD4" w14:textId="68221DAD" w:rsidR="000E6C07" w:rsidRDefault="000E6C07" w:rsidP="004F051B">
      <w:pPr>
        <w:autoSpaceDE w:val="0"/>
        <w:autoSpaceDN w:val="0"/>
        <w:adjustRightInd w:val="0"/>
        <w:spacing w:after="0" w:line="240" w:lineRule="auto"/>
      </w:pPr>
      <w:r w:rsidRPr="004F051B">
        <w:rPr>
          <w:b/>
          <w:bCs/>
          <w:u w:val="single"/>
          <w:lang w:val="es-419"/>
        </w:rPr>
        <w:t xml:space="preserve">En </w:t>
      </w:r>
      <w:r w:rsidR="004F051B" w:rsidRPr="004F051B">
        <w:rPr>
          <w:b/>
          <w:bCs/>
          <w:u w:val="single"/>
          <w:lang w:val="es-419"/>
        </w:rPr>
        <w:t>menos de 200</w:t>
      </w:r>
      <w:r w:rsidRPr="004F051B">
        <w:rPr>
          <w:b/>
          <w:bCs/>
          <w:u w:val="single"/>
          <w:lang w:val="es-419"/>
        </w:rPr>
        <w:t xml:space="preserve"> palabras por pregunta</w:t>
      </w:r>
      <w:r>
        <w:rPr>
          <w:lang w:val="es-419"/>
        </w:rPr>
        <w:t>, respond</w:t>
      </w:r>
      <w:r w:rsidR="004F051B">
        <w:rPr>
          <w:lang w:val="es-419"/>
        </w:rPr>
        <w:t>e</w:t>
      </w:r>
      <w:r>
        <w:rPr>
          <w:lang w:val="es-419"/>
        </w:rPr>
        <w:t xml:space="preserve"> las siguientes 3 preguntas que se desprenden del texto de Abadie </w:t>
      </w:r>
      <w:r w:rsidR="004F051B">
        <w:rPr>
          <w:lang w:val="es-419"/>
        </w:rPr>
        <w:t xml:space="preserve">et al. </w:t>
      </w:r>
      <w:r w:rsidR="004F051B" w:rsidRPr="004F051B">
        <w:t>(2010) Synthetic Control Methods for Comparative Case</w:t>
      </w:r>
      <w:r w:rsidR="004F051B">
        <w:t xml:space="preserve"> </w:t>
      </w:r>
      <w:r w:rsidR="004F051B" w:rsidRPr="004F051B">
        <w:t>Studies: Estimating the Effect of California’s Tobacco Control Program</w:t>
      </w:r>
      <w:r w:rsidR="004F051B">
        <w:t xml:space="preserve"> </w:t>
      </w:r>
    </w:p>
    <w:p w14:paraId="016B96EC" w14:textId="77777777" w:rsidR="004F051B" w:rsidRPr="004F051B" w:rsidRDefault="004F051B" w:rsidP="004F051B">
      <w:pPr>
        <w:autoSpaceDE w:val="0"/>
        <w:autoSpaceDN w:val="0"/>
        <w:adjustRightInd w:val="0"/>
        <w:spacing w:after="0" w:line="240" w:lineRule="auto"/>
      </w:pPr>
    </w:p>
    <w:p w14:paraId="1007A80E" w14:textId="3BADB4AD" w:rsidR="00ED561E" w:rsidRPr="00E6694D" w:rsidRDefault="004F051B" w:rsidP="00ED561E">
      <w:pPr>
        <w:pStyle w:val="Prrafodelista"/>
        <w:numPr>
          <w:ilvl w:val="0"/>
          <w:numId w:val="3"/>
        </w:numPr>
        <w:rPr>
          <w:b/>
          <w:bCs/>
          <w:lang w:val="es-419"/>
        </w:rPr>
      </w:pPr>
      <w:r w:rsidRPr="00E6694D">
        <w:rPr>
          <w:b/>
          <w:bCs/>
          <w:lang w:val="es-419"/>
        </w:rPr>
        <w:t>¿</w:t>
      </w:r>
      <w:r w:rsidR="00B51485" w:rsidRPr="00E6694D">
        <w:rPr>
          <w:b/>
          <w:bCs/>
          <w:lang w:val="es-419"/>
        </w:rPr>
        <w:t xml:space="preserve">Cuál es la ventaja </w:t>
      </w:r>
      <w:r w:rsidR="00496D25" w:rsidRPr="00E6694D">
        <w:rPr>
          <w:b/>
          <w:bCs/>
          <w:lang w:val="es-419"/>
        </w:rPr>
        <w:t>del factor</w:t>
      </w:r>
      <w:r w:rsidR="008A7EDC" w:rsidRPr="00E6694D">
        <w:rPr>
          <w:b/>
          <w:bCs/>
          <w:lang w:val="es-419"/>
        </w:rPr>
        <w:t xml:space="preserve"> </w:t>
      </w:r>
      <w:proofErr w:type="spellStart"/>
      <w:r w:rsidR="008A7EDC" w:rsidRPr="00E6694D">
        <w:rPr>
          <w:b/>
          <w:bCs/>
          <w:lang w:val="es-419"/>
        </w:rPr>
        <w:t>model</w:t>
      </w:r>
      <w:proofErr w:type="spellEnd"/>
      <w:r w:rsidR="008A7EDC" w:rsidRPr="00E6694D">
        <w:rPr>
          <w:b/>
          <w:bCs/>
          <w:lang w:val="es-419"/>
        </w:rPr>
        <w:t xml:space="preserve"> </w:t>
      </w:r>
      <w:r w:rsidR="00757CB3" w:rsidRPr="00E6694D">
        <w:rPr>
          <w:b/>
          <w:bCs/>
          <w:lang w:val="es-419"/>
        </w:rPr>
        <w:t xml:space="preserve">que el autor </w:t>
      </w:r>
      <w:r w:rsidR="00B51485" w:rsidRPr="00E6694D">
        <w:rPr>
          <w:b/>
          <w:bCs/>
          <w:lang w:val="es-419"/>
        </w:rPr>
        <w:t xml:space="preserve">usa </w:t>
      </w:r>
      <w:r w:rsidR="00757CB3" w:rsidRPr="00E6694D">
        <w:rPr>
          <w:b/>
          <w:bCs/>
          <w:lang w:val="es-419"/>
        </w:rPr>
        <w:t xml:space="preserve">para justificar la validez del estimador de </w:t>
      </w:r>
      <w:proofErr w:type="spellStart"/>
      <w:r w:rsidR="00757CB3" w:rsidRPr="00E6694D">
        <w:rPr>
          <w:b/>
          <w:bCs/>
          <w:lang w:val="es-419"/>
        </w:rPr>
        <w:t>Synthetic</w:t>
      </w:r>
      <w:proofErr w:type="spellEnd"/>
      <w:r w:rsidR="00757CB3" w:rsidRPr="00E6694D">
        <w:rPr>
          <w:b/>
          <w:bCs/>
          <w:lang w:val="es-419"/>
        </w:rPr>
        <w:t xml:space="preserve"> Control </w:t>
      </w:r>
      <w:proofErr w:type="spellStart"/>
      <w:r w:rsidR="00757CB3" w:rsidRPr="00E6694D">
        <w:rPr>
          <w:b/>
          <w:bCs/>
          <w:lang w:val="es-419"/>
        </w:rPr>
        <w:t>Method</w:t>
      </w:r>
      <w:proofErr w:type="spellEnd"/>
      <w:r w:rsidR="00757CB3" w:rsidRPr="00E6694D">
        <w:rPr>
          <w:b/>
          <w:bCs/>
          <w:lang w:val="es-419"/>
        </w:rPr>
        <w:t xml:space="preserve"> </w:t>
      </w:r>
      <w:r w:rsidR="00B51485" w:rsidRPr="00E6694D">
        <w:rPr>
          <w:b/>
          <w:bCs/>
          <w:lang w:val="es-419"/>
        </w:rPr>
        <w:t xml:space="preserve">respecto al que </w:t>
      </w:r>
      <w:r w:rsidR="000E6E42" w:rsidRPr="00E6694D">
        <w:rPr>
          <w:b/>
          <w:bCs/>
          <w:lang w:val="es-419"/>
        </w:rPr>
        <w:t xml:space="preserve">se usa bajo el método de </w:t>
      </w:r>
      <w:proofErr w:type="spellStart"/>
      <w:r w:rsidR="00B51485" w:rsidRPr="00E6694D">
        <w:rPr>
          <w:b/>
          <w:bCs/>
          <w:lang w:val="es-419"/>
        </w:rPr>
        <w:t>DiD</w:t>
      </w:r>
      <w:proofErr w:type="spellEnd"/>
      <w:r w:rsidRPr="00E6694D">
        <w:rPr>
          <w:b/>
          <w:bCs/>
          <w:lang w:val="es-419"/>
        </w:rPr>
        <w:t>?</w:t>
      </w:r>
    </w:p>
    <w:p w14:paraId="08CD5BB8" w14:textId="77777777" w:rsidR="00C47BCA" w:rsidRPr="00C47BCA" w:rsidRDefault="00C47BCA" w:rsidP="00C47BCA">
      <w:pPr>
        <w:jc w:val="both"/>
        <w:rPr>
          <w:lang w:val="es-419"/>
        </w:rPr>
      </w:pPr>
      <w:r w:rsidRPr="00C47BCA">
        <w:rPr>
          <w:lang w:val="es-419"/>
        </w:rPr>
        <w:t>El Método de Control Sintético (SCM) supera al de Diferencias en Diferencias (</w:t>
      </w:r>
      <w:proofErr w:type="spellStart"/>
      <w:r w:rsidRPr="00C47BCA">
        <w:rPr>
          <w:lang w:val="es-419"/>
        </w:rPr>
        <w:t>DiD</w:t>
      </w:r>
      <w:proofErr w:type="spellEnd"/>
      <w:r w:rsidRPr="00C47BCA">
        <w:rPr>
          <w:lang w:val="es-419"/>
        </w:rPr>
        <w:t xml:space="preserve">) al permitir que los efectos de variables no observadas varíen en el tiempo. Mientras que </w:t>
      </w:r>
      <w:proofErr w:type="spellStart"/>
      <w:r w:rsidRPr="00C47BCA">
        <w:rPr>
          <w:lang w:val="es-419"/>
        </w:rPr>
        <w:t>DiD</w:t>
      </w:r>
      <w:proofErr w:type="spellEnd"/>
      <w:r w:rsidRPr="00C47BCA">
        <w:rPr>
          <w:lang w:val="es-419"/>
        </w:rPr>
        <w:t xml:space="preserve"> asume que estos efectos son constantes, SCM modela su evolución mediante factores latentes específicos de cada unidad y periodo. Esto resulta clave en contextos donde las condiciones cambian con el tiempo, haciendo que </w:t>
      </w:r>
      <w:proofErr w:type="spellStart"/>
      <w:r w:rsidRPr="00C47BCA">
        <w:rPr>
          <w:lang w:val="es-419"/>
        </w:rPr>
        <w:t>DiD</w:t>
      </w:r>
      <w:proofErr w:type="spellEnd"/>
      <w:r w:rsidRPr="00C47BCA">
        <w:rPr>
          <w:lang w:val="es-419"/>
        </w:rPr>
        <w:t xml:space="preserve"> pueda simplificar en exceso.</w:t>
      </w:r>
    </w:p>
    <w:p w14:paraId="3C9397F4" w14:textId="465C150D" w:rsidR="00ED561E" w:rsidRPr="00ED561E" w:rsidRDefault="00C47BCA" w:rsidP="007F3BD5">
      <w:pPr>
        <w:jc w:val="both"/>
        <w:rPr>
          <w:lang w:val="es-419"/>
        </w:rPr>
      </w:pPr>
      <w:r w:rsidRPr="00C47BCA">
        <w:rPr>
          <w:lang w:val="es-419"/>
        </w:rPr>
        <w:t>SCM construye un control sintético como una combinación lineal de características observables y factores latentes, reproduciendo más fielmente la trayectoria contrafactual de la unidad tratada en ausencia de intervención. Esto mejora la validez del estimador y lo hace más robusto en escenarios dinámicos, proporcionando mayor flexibilidad y precisión para evaluar políticas y programas</w:t>
      </w:r>
      <w:r w:rsidR="007740F1" w:rsidRPr="007740F1">
        <w:rPr>
          <w:lang w:val="es-419"/>
        </w:rPr>
        <w:t>.</w:t>
      </w:r>
    </w:p>
    <w:p w14:paraId="4017773E" w14:textId="1D6D22DE" w:rsidR="00ED561E" w:rsidRPr="007F3BD5" w:rsidRDefault="00B70758" w:rsidP="00ED561E">
      <w:pPr>
        <w:pStyle w:val="Prrafodelista"/>
        <w:numPr>
          <w:ilvl w:val="0"/>
          <w:numId w:val="3"/>
        </w:numPr>
        <w:rPr>
          <w:b/>
          <w:bCs/>
          <w:lang w:val="es-419"/>
        </w:rPr>
      </w:pPr>
      <w:r w:rsidRPr="007F3BD5">
        <w:rPr>
          <w:b/>
          <w:bCs/>
          <w:lang w:val="es-419"/>
        </w:rPr>
        <w:t xml:space="preserve">Antes de llevar a cabo el análisis empírico de la Proposición 99, ¿qué restricciones del </w:t>
      </w:r>
      <w:r w:rsidRPr="007F3BD5">
        <w:rPr>
          <w:b/>
          <w:bCs/>
          <w:i/>
          <w:iCs/>
          <w:lang w:val="es-419"/>
        </w:rPr>
        <w:t xml:space="preserve">Donor Pool </w:t>
      </w:r>
      <w:r w:rsidRPr="007F3BD5">
        <w:rPr>
          <w:b/>
          <w:bCs/>
          <w:lang w:val="es-419"/>
        </w:rPr>
        <w:t>lleva a cabo el autor y por qué?</w:t>
      </w:r>
    </w:p>
    <w:p w14:paraId="6B5F9E28" w14:textId="25BB0A96" w:rsidR="00183D85" w:rsidRPr="00183D85" w:rsidRDefault="00183D85" w:rsidP="00183D85">
      <w:pPr>
        <w:jc w:val="both"/>
        <w:rPr>
          <w:lang w:val="es-419"/>
        </w:rPr>
      </w:pPr>
      <w:r w:rsidRPr="00183D85">
        <w:rPr>
          <w:lang w:val="es-419"/>
        </w:rPr>
        <w:t xml:space="preserve">Los autores restringen el </w:t>
      </w:r>
      <w:proofErr w:type="spellStart"/>
      <w:r w:rsidRPr="00183D85">
        <w:rPr>
          <w:lang w:val="es-419"/>
        </w:rPr>
        <w:t>Donor</w:t>
      </w:r>
      <w:proofErr w:type="spellEnd"/>
      <w:r w:rsidRPr="00183D85">
        <w:rPr>
          <w:lang w:val="es-419"/>
        </w:rPr>
        <w:t xml:space="preserve"> Pool para garantizar la validez del análisis y evitar sesgos. Excluyen estados que implementaron intensos programas de control del tabaco entre 1989 y 2000, ya que estos podrían haber reducido el consumo por sus propias políticas, invalidando su uso como control. Ejemplos incluyen Massachusetts, Arizona, Oregón y Florida.</w:t>
      </w:r>
    </w:p>
    <w:p w14:paraId="096E1E34" w14:textId="1391F5BC" w:rsidR="00183D85" w:rsidRPr="00183D85" w:rsidRDefault="00183D85" w:rsidP="00183D85">
      <w:pPr>
        <w:jc w:val="both"/>
        <w:rPr>
          <w:lang w:val="es-419"/>
        </w:rPr>
      </w:pPr>
      <w:r w:rsidRPr="00183D85">
        <w:rPr>
          <w:lang w:val="es-419"/>
        </w:rPr>
        <w:t>Además, excluyen estados que aumentaron significativamente los impuestos al tabaco (≥50 centavos por paquete), ya que estos incrementos pueden afectar el consumo independientemente de la Proposición 99. Estados como Alaska, Hawái, Maryland y Nueva York fueron eliminados bajo este criterio.</w:t>
      </w:r>
    </w:p>
    <w:p w14:paraId="13660A1B" w14:textId="618CED95" w:rsidR="00183D85" w:rsidRPr="00183D85" w:rsidRDefault="00183D85" w:rsidP="00183D85">
      <w:pPr>
        <w:jc w:val="both"/>
        <w:rPr>
          <w:lang w:val="es-419"/>
        </w:rPr>
      </w:pPr>
      <w:r w:rsidRPr="00183D85">
        <w:rPr>
          <w:lang w:val="es-419"/>
        </w:rPr>
        <w:t>Finalmente, el Distrito de Columbia se excluye por sus características estructurales y escala atípicas, dificultando la comparación con otros estados.</w:t>
      </w:r>
    </w:p>
    <w:p w14:paraId="5BBCC07F" w14:textId="76E0B635" w:rsidR="00ED561E" w:rsidRPr="00ED561E" w:rsidRDefault="00183D85" w:rsidP="00355469">
      <w:pPr>
        <w:jc w:val="both"/>
        <w:rPr>
          <w:lang w:val="es-419"/>
        </w:rPr>
      </w:pPr>
      <w:r w:rsidRPr="00183D85">
        <w:rPr>
          <w:lang w:val="es-419"/>
        </w:rPr>
        <w:t xml:space="preserve">Estas restricciones redujeron el </w:t>
      </w:r>
      <w:proofErr w:type="spellStart"/>
      <w:r w:rsidRPr="00183D85">
        <w:rPr>
          <w:lang w:val="es-419"/>
        </w:rPr>
        <w:t>Donor</w:t>
      </w:r>
      <w:proofErr w:type="spellEnd"/>
      <w:r w:rsidRPr="00183D85">
        <w:rPr>
          <w:lang w:val="es-419"/>
        </w:rPr>
        <w:t xml:space="preserve"> Pool a 38 estados, asegurando homogeneidad inicial y minimizando la influencia de políticas externas, mejorando así la validez y fiabilidad del control sintético.</w:t>
      </w:r>
    </w:p>
    <w:p w14:paraId="4D63B70A" w14:textId="33F460AD" w:rsidR="004F051B" w:rsidRPr="007F3BD5" w:rsidRDefault="004F051B" w:rsidP="004F051B">
      <w:pPr>
        <w:pStyle w:val="Prrafodelista"/>
        <w:numPr>
          <w:ilvl w:val="0"/>
          <w:numId w:val="3"/>
        </w:numPr>
        <w:rPr>
          <w:b/>
          <w:bCs/>
          <w:lang w:val="es-419"/>
        </w:rPr>
      </w:pPr>
      <w:r w:rsidRPr="007F3BD5">
        <w:rPr>
          <w:b/>
          <w:bCs/>
          <w:lang w:val="es-419"/>
        </w:rPr>
        <w:t>En el análisis empírico de la Proposición 99, explique brevemente los métodos de inferencia considerados por el autor y diga cuál es aquel que él considera el más importante ¿Por qué?</w:t>
      </w:r>
    </w:p>
    <w:p w14:paraId="402A94C4" w14:textId="77777777" w:rsidR="00183D85" w:rsidRPr="00183D85" w:rsidRDefault="00183D85" w:rsidP="00183D85">
      <w:pPr>
        <w:jc w:val="both"/>
        <w:rPr>
          <w:lang w:val="es-PE"/>
        </w:rPr>
      </w:pPr>
      <w:r w:rsidRPr="00183D85">
        <w:rPr>
          <w:lang w:val="es-PE"/>
        </w:rPr>
        <w:lastRenderedPageBreak/>
        <w:t>En el análisis empírico de la Proposición 99, los autores emplean varios métodos de inferencia para evaluar la significancia de los resultados, destacándose los estudios placebo y las pruebas de permutación.</w:t>
      </w:r>
    </w:p>
    <w:p w14:paraId="3C9A055C" w14:textId="77777777" w:rsidR="00183D85" w:rsidRPr="00183D85" w:rsidRDefault="00183D85" w:rsidP="00183D85">
      <w:pPr>
        <w:jc w:val="both"/>
        <w:rPr>
          <w:lang w:val="es-PE"/>
        </w:rPr>
      </w:pPr>
      <w:r w:rsidRPr="00183D85">
        <w:rPr>
          <w:lang w:val="es-PE"/>
        </w:rPr>
        <w:t>En los </w:t>
      </w:r>
      <w:r w:rsidRPr="00183D85">
        <w:rPr>
          <w:b/>
          <w:bCs/>
          <w:lang w:val="es-PE"/>
        </w:rPr>
        <w:t>placebos</w:t>
      </w:r>
      <w:r w:rsidRPr="00183D85">
        <w:rPr>
          <w:lang w:val="es-PE"/>
        </w:rPr>
        <w:t xml:space="preserve">, se aplica el método de control sintético a cada estado del </w:t>
      </w:r>
      <w:proofErr w:type="spellStart"/>
      <w:r w:rsidRPr="00183D85">
        <w:rPr>
          <w:lang w:val="es-PE"/>
        </w:rPr>
        <w:t>Donor</w:t>
      </w:r>
      <w:proofErr w:type="spellEnd"/>
      <w:r w:rsidRPr="00183D85">
        <w:rPr>
          <w:lang w:val="es-PE"/>
        </w:rPr>
        <w:t xml:space="preserve"> Pool como si hubiera implementado una política similar, obteniendo una distribución de gaps (diferencias entre el estado real y su control sintético). Comparar el gap de California con esta distribución permite determinar si su efecto es excepcional.</w:t>
      </w:r>
    </w:p>
    <w:p w14:paraId="7BCC724F" w14:textId="11DAA18F" w:rsidR="00183D85" w:rsidRPr="00183D85" w:rsidRDefault="00183D85" w:rsidP="00183D85">
      <w:pPr>
        <w:jc w:val="both"/>
        <w:rPr>
          <w:lang w:val="es-PE"/>
        </w:rPr>
      </w:pPr>
      <w:r w:rsidRPr="00183D85">
        <w:rPr>
          <w:lang w:val="es-PE"/>
        </w:rPr>
        <w:t xml:space="preserve">Con </w:t>
      </w:r>
      <w:r w:rsidRPr="00183D85">
        <w:rPr>
          <w:lang w:val="es-PE"/>
        </w:rPr>
        <w:t>las ratios</w:t>
      </w:r>
      <w:r w:rsidRPr="00183D85">
        <w:rPr>
          <w:b/>
          <w:bCs/>
          <w:lang w:val="es-PE"/>
        </w:rPr>
        <w:t xml:space="preserve"> de error cuadrático medio pre y </w:t>
      </w:r>
      <w:proofErr w:type="spellStart"/>
      <w:r w:rsidRPr="00183D85">
        <w:rPr>
          <w:b/>
          <w:bCs/>
          <w:lang w:val="es-PE"/>
        </w:rPr>
        <w:t>post-intervención</w:t>
      </w:r>
      <w:proofErr w:type="spellEnd"/>
      <w:r w:rsidRPr="00183D85">
        <w:rPr>
          <w:b/>
          <w:bCs/>
          <w:lang w:val="es-PE"/>
        </w:rPr>
        <w:t xml:space="preserve"> (MSPE)</w:t>
      </w:r>
      <w:r w:rsidRPr="00183D85">
        <w:rPr>
          <w:lang w:val="es-PE"/>
        </w:rPr>
        <w:t xml:space="preserve">, se calcula el cociente entre los errores pre y </w:t>
      </w:r>
      <w:proofErr w:type="spellStart"/>
      <w:r w:rsidRPr="00183D85">
        <w:rPr>
          <w:lang w:val="es-PE"/>
        </w:rPr>
        <w:t>post-intervención</w:t>
      </w:r>
      <w:proofErr w:type="spellEnd"/>
      <w:r w:rsidRPr="00183D85">
        <w:rPr>
          <w:lang w:val="es-PE"/>
        </w:rPr>
        <w:t xml:space="preserve">. </w:t>
      </w:r>
      <w:r w:rsidRPr="00183D85">
        <w:rPr>
          <w:lang w:val="es-PE"/>
        </w:rPr>
        <w:t>Una ratio significativamente mayor</w:t>
      </w:r>
      <w:r w:rsidRPr="00183D85">
        <w:rPr>
          <w:lang w:val="es-PE"/>
        </w:rPr>
        <w:t xml:space="preserve"> para California indica que el efecto observado no es producto del azar.</w:t>
      </w:r>
    </w:p>
    <w:p w14:paraId="6D4A435F" w14:textId="77777777" w:rsidR="00183D85" w:rsidRPr="00183D85" w:rsidRDefault="00183D85" w:rsidP="00183D85">
      <w:pPr>
        <w:jc w:val="both"/>
        <w:rPr>
          <w:lang w:val="es-PE"/>
        </w:rPr>
      </w:pPr>
      <w:r w:rsidRPr="00183D85">
        <w:rPr>
          <w:lang w:val="es-PE"/>
        </w:rPr>
        <w:t>Las </w:t>
      </w:r>
      <w:r w:rsidRPr="00183D85">
        <w:rPr>
          <w:b/>
          <w:bCs/>
          <w:lang w:val="es-PE"/>
        </w:rPr>
        <w:t>pruebas de permutación</w:t>
      </w:r>
      <w:r w:rsidRPr="00183D85">
        <w:rPr>
          <w:lang w:val="es-PE"/>
        </w:rPr>
        <w:t> comparan la distribución de los gaps obtenidos en los placebos frente al gap de California, evaluando la probabilidad de observar un efecto tan grande bajo la hipótesis nula.</w:t>
      </w:r>
    </w:p>
    <w:p w14:paraId="55078B52" w14:textId="77777777" w:rsidR="00183D85" w:rsidRPr="00183D85" w:rsidRDefault="00183D85" w:rsidP="00183D85">
      <w:pPr>
        <w:jc w:val="both"/>
        <w:rPr>
          <w:lang w:val="es-PE"/>
        </w:rPr>
      </w:pPr>
      <w:r w:rsidRPr="00183D85">
        <w:rPr>
          <w:lang w:val="es-PE"/>
        </w:rPr>
        <w:t>De estos métodos, los </w:t>
      </w:r>
      <w:r w:rsidRPr="00183D85">
        <w:rPr>
          <w:b/>
          <w:bCs/>
          <w:lang w:val="es-PE"/>
        </w:rPr>
        <w:t>placebos</w:t>
      </w:r>
      <w:r w:rsidRPr="00183D85">
        <w:rPr>
          <w:lang w:val="es-PE"/>
        </w:rPr>
        <w:t> son los más importantes, ya que permiten identificar si el impacto en California es excepcional. Los resultados muestran que el gap de California es significativamente mayor, reforzando la validez del estimador y confirmando el notable efecto de la Proposición 99 en la reducción del consumo de cigarrillos.</w:t>
      </w:r>
    </w:p>
    <w:p w14:paraId="3D91B5DE" w14:textId="77777777" w:rsidR="00183D85" w:rsidRPr="00ED561E" w:rsidRDefault="00183D85" w:rsidP="00183D85">
      <w:pPr>
        <w:jc w:val="both"/>
        <w:rPr>
          <w:lang w:val="es-419"/>
        </w:rPr>
      </w:pPr>
    </w:p>
    <w:p w14:paraId="7CC8626B" w14:textId="2E748AF3" w:rsidR="004F051B" w:rsidRDefault="004F051B" w:rsidP="004F051B">
      <w:pPr>
        <w:rPr>
          <w:lang w:val="es-419"/>
        </w:rPr>
      </w:pPr>
    </w:p>
    <w:p w14:paraId="48034B4B" w14:textId="23B58BF5" w:rsidR="004F051B" w:rsidRDefault="004F051B" w:rsidP="004F051B">
      <w:pPr>
        <w:rPr>
          <w:lang w:val="es-419"/>
        </w:rPr>
      </w:pPr>
      <w:r>
        <w:rPr>
          <w:lang w:val="es-419"/>
        </w:rPr>
        <w:t>Juan Manuel del Pozo Segura</w:t>
      </w:r>
    </w:p>
    <w:p w14:paraId="06C6F758" w14:textId="09BC1193" w:rsidR="004F051B" w:rsidRDefault="004F051B" w:rsidP="004F051B">
      <w:pPr>
        <w:rPr>
          <w:lang w:val="es-419"/>
        </w:rPr>
      </w:pPr>
    </w:p>
    <w:sectPr w:rsidR="004F05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A07F2"/>
    <w:multiLevelType w:val="hybridMultilevel"/>
    <w:tmpl w:val="B78AC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16837"/>
    <w:multiLevelType w:val="hybridMultilevel"/>
    <w:tmpl w:val="10C6D48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B567366"/>
    <w:multiLevelType w:val="hybridMultilevel"/>
    <w:tmpl w:val="E2382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914382">
    <w:abstractNumId w:val="2"/>
  </w:num>
  <w:num w:numId="2" w16cid:durableId="1714622615">
    <w:abstractNumId w:val="0"/>
  </w:num>
  <w:num w:numId="3" w16cid:durableId="1648899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07"/>
    <w:rsid w:val="000E6C07"/>
    <w:rsid w:val="000E6E42"/>
    <w:rsid w:val="00183D85"/>
    <w:rsid w:val="001D356C"/>
    <w:rsid w:val="001F3B02"/>
    <w:rsid w:val="00355469"/>
    <w:rsid w:val="004465FD"/>
    <w:rsid w:val="00496D25"/>
    <w:rsid w:val="004B0864"/>
    <w:rsid w:val="004F051B"/>
    <w:rsid w:val="00757CB3"/>
    <w:rsid w:val="007740F1"/>
    <w:rsid w:val="007F3BD5"/>
    <w:rsid w:val="008A7EDC"/>
    <w:rsid w:val="00B51485"/>
    <w:rsid w:val="00B70758"/>
    <w:rsid w:val="00C47BCA"/>
    <w:rsid w:val="00CD3E2A"/>
    <w:rsid w:val="00CF47CC"/>
    <w:rsid w:val="00E6694D"/>
    <w:rsid w:val="00ED561E"/>
    <w:rsid w:val="00ED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9D99"/>
  <w15:chartTrackingRefBased/>
  <w15:docId w15:val="{751F128F-7C00-4CBA-9952-0DDE09F4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0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48441">
      <w:bodyDiv w:val="1"/>
      <w:marLeft w:val="0"/>
      <w:marRight w:val="0"/>
      <w:marTop w:val="0"/>
      <w:marBottom w:val="0"/>
      <w:divBdr>
        <w:top w:val="none" w:sz="0" w:space="0" w:color="auto"/>
        <w:left w:val="none" w:sz="0" w:space="0" w:color="auto"/>
        <w:bottom w:val="none" w:sz="0" w:space="0" w:color="auto"/>
        <w:right w:val="none" w:sz="0" w:space="0" w:color="auto"/>
      </w:divBdr>
    </w:div>
    <w:div w:id="738290642">
      <w:bodyDiv w:val="1"/>
      <w:marLeft w:val="0"/>
      <w:marRight w:val="0"/>
      <w:marTop w:val="0"/>
      <w:marBottom w:val="0"/>
      <w:divBdr>
        <w:top w:val="none" w:sz="0" w:space="0" w:color="auto"/>
        <w:left w:val="none" w:sz="0" w:space="0" w:color="auto"/>
        <w:bottom w:val="none" w:sz="0" w:space="0" w:color="auto"/>
        <w:right w:val="none" w:sz="0" w:space="0" w:color="auto"/>
      </w:divBdr>
    </w:div>
    <w:div w:id="743645755">
      <w:bodyDiv w:val="1"/>
      <w:marLeft w:val="0"/>
      <w:marRight w:val="0"/>
      <w:marTop w:val="0"/>
      <w:marBottom w:val="0"/>
      <w:divBdr>
        <w:top w:val="none" w:sz="0" w:space="0" w:color="auto"/>
        <w:left w:val="none" w:sz="0" w:space="0" w:color="auto"/>
        <w:bottom w:val="none" w:sz="0" w:space="0" w:color="auto"/>
        <w:right w:val="none" w:sz="0" w:space="0" w:color="auto"/>
      </w:divBdr>
    </w:div>
    <w:div w:id="1142772472">
      <w:bodyDiv w:val="1"/>
      <w:marLeft w:val="0"/>
      <w:marRight w:val="0"/>
      <w:marTop w:val="0"/>
      <w:marBottom w:val="0"/>
      <w:divBdr>
        <w:top w:val="none" w:sz="0" w:space="0" w:color="auto"/>
        <w:left w:val="none" w:sz="0" w:space="0" w:color="auto"/>
        <w:bottom w:val="none" w:sz="0" w:space="0" w:color="auto"/>
        <w:right w:val="none" w:sz="0" w:space="0" w:color="auto"/>
      </w:divBdr>
    </w:div>
    <w:div w:id="1324700125">
      <w:bodyDiv w:val="1"/>
      <w:marLeft w:val="0"/>
      <w:marRight w:val="0"/>
      <w:marTop w:val="0"/>
      <w:marBottom w:val="0"/>
      <w:divBdr>
        <w:top w:val="none" w:sz="0" w:space="0" w:color="auto"/>
        <w:left w:val="none" w:sz="0" w:space="0" w:color="auto"/>
        <w:bottom w:val="none" w:sz="0" w:space="0" w:color="auto"/>
        <w:right w:val="none" w:sz="0" w:space="0" w:color="auto"/>
      </w:divBdr>
    </w:div>
    <w:div w:id="1325740484">
      <w:bodyDiv w:val="1"/>
      <w:marLeft w:val="0"/>
      <w:marRight w:val="0"/>
      <w:marTop w:val="0"/>
      <w:marBottom w:val="0"/>
      <w:divBdr>
        <w:top w:val="none" w:sz="0" w:space="0" w:color="auto"/>
        <w:left w:val="none" w:sz="0" w:space="0" w:color="auto"/>
        <w:bottom w:val="none" w:sz="0" w:space="0" w:color="auto"/>
        <w:right w:val="none" w:sz="0" w:space="0" w:color="auto"/>
      </w:divBdr>
    </w:div>
    <w:div w:id="15222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636</Words>
  <Characters>3498</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del Pozo S.</dc:creator>
  <cp:keywords/>
  <dc:description/>
  <cp:lastModifiedBy>Fernando Miguel Mendoza Canal</cp:lastModifiedBy>
  <cp:revision>13</cp:revision>
  <dcterms:created xsi:type="dcterms:W3CDTF">2021-01-06T03:29:00Z</dcterms:created>
  <dcterms:modified xsi:type="dcterms:W3CDTF">2024-12-15T01:14:00Z</dcterms:modified>
</cp:coreProperties>
</file>