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rFonts w:ascii="Roboto" w:hAnsi="Roboto" w:eastAsia="Roboto" w:cs="Roboto"/>
        </w:rPr>
      </w:pPr>
      <w:r>
        <w:rPr>
          <w:rFonts w:ascii="Roboto" w:hAnsi="Roboto" w:eastAsia="Roboto" w:cs="Roboto"/>
          <w:b/>
          <w:bCs/>
          <w:color w:val="0000ff"/>
          <w:rtl w:val="0"/>
        </w:rPr>
        <w:t xml:space="preserve">Ejercicio 1 — Catálogo geográfico: ficha de metadatos</w:t>
      </w:r>
      <w:r>
        <w:rPr>
          <w:rtl w:val="0"/>
        </w:rPr>
      </w:r>
      <w:r>
        <w:rPr>
          <w:rFonts w:ascii="Roboto" w:hAnsi="Roboto" w:eastAsia="Roboto" w:cs="Roboto"/>
        </w:rPr>
      </w:r>
    </w:p>
    <w:p w14:paraId="00000002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tl w:val="0"/>
        </w:rPr>
      </w:r>
      <w:r>
        <w:rPr>
          <w:rFonts w:ascii="Roboto" w:hAnsi="Roboto" w:eastAsia="Roboto" w:cs="Roboto"/>
          <w:color w:val="0000ff"/>
        </w:rPr>
      </w:r>
    </w:p>
    <w:p w14:paraId="00000003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color w:val="0000ff"/>
          <w:rtl w:val="0"/>
        </w:rPr>
        <w:t xml:space="preserve">Objetivo</w:t>
      </w:r>
      <w:r>
        <w:rPr>
          <w:rFonts w:ascii="Roboto" w:hAnsi="Roboto" w:eastAsia="Roboto" w:cs="Roboto"/>
          <w:color w:val="0000ff"/>
        </w:rPr>
      </w:r>
    </w:p>
    <w:p w14:paraId="00000004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Explorar el </w:t>
      </w:r>
      <w:r>
        <w:rPr>
          <w:rFonts w:ascii="Roboto" w:hAnsi="Roboto" w:eastAsia="Roboto" w:cs="Roboto"/>
          <w:i/>
          <w:iCs/>
          <w:rtl w:val="0"/>
        </w:rPr>
        <w:t xml:space="preserve">Catálogo Geográfico de Medellín</w:t>
      </w:r>
      <w:r>
        <w:rPr>
          <w:rFonts w:ascii="Roboto" w:hAnsi="Roboto" w:eastAsia="Roboto" w:cs="Roboto"/>
          <w:rtl w:val="0"/>
        </w:rPr>
        <w:t xml:space="preserve"> para localizar un conjunto de datos relacionado con catastro y registrar su ficha de metadatos: responsable, fecha de actualización, escala, formato y servicio asociado.</w:t>
      </w:r>
      <w:r>
        <w:rPr>
          <w:rFonts w:ascii="Roboto" w:hAnsi="Roboto" w:eastAsia="Roboto" w:cs="Roboto"/>
        </w:rPr>
      </w:r>
    </w:p>
    <w:p w14:paraId="00000005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El catastro multipropósito depende de que los datos que lo alimentan sean trazables y confiables. La ficha de metadatos documenta el origen, la vigencia y la calidad de un dato </w:t>
      </w:r>
      <w:r>
        <w:rPr>
          <w:rFonts w:ascii="Roboto" w:hAnsi="Roboto" w:eastAsia="Roboto" w:cs="Roboto"/>
        </w:rPr>
      </w:r>
    </w:p>
    <w:p w14:paraId="00000006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00000007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color w:val="0000ff"/>
          <w:rtl w:val="0"/>
        </w:rPr>
        <w:t xml:space="preserve">Actividades a realizar</w:t>
      </w:r>
      <w:r>
        <w:rPr>
          <w:rFonts w:ascii="Roboto" w:hAnsi="Roboto" w:eastAsia="Roboto" w:cs="Roboto"/>
          <w:color w:val="0000ff"/>
        </w:rPr>
      </w:r>
    </w:p>
    <w:p w14:paraId="00000008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1-Ingresar a GeoMedellín ir a Contenidos Destacados/ Gestión de Información Geográfica/Aplicaciones  </w:t>
      </w:r>
      <w:r>
        <w:rPr>
          <w:rFonts w:ascii="Roboto" w:hAnsi="Roboto" w:eastAsia="Roboto" w:cs="Roboto"/>
        </w:rPr>
      </w:r>
    </w:p>
    <w:p w14:paraId="00000009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2- Identificar las  diferencias entre Catálogo de Mapas y Catálogo Geográfico</w:t>
      </w:r>
      <w:r>
        <w:rPr>
          <w:rFonts w:ascii="Roboto" w:hAnsi="Roboto" w:eastAsia="Roboto" w:cs="Roboto"/>
        </w:rPr>
      </w:r>
    </w:p>
    <w:p w14:paraId="0000000A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3-Ingresar palabra clave para iniciar la búsqueda (por ejemplo "catastro", “estrato”, “lote” o "multipropósito”</w:t>
      </w:r>
      <w:r>
        <w:rPr>
          <w:rFonts w:ascii="Roboto" w:hAnsi="Roboto" w:eastAsia="Roboto" w:cs="Roboto"/>
        </w:rPr>
      </w:r>
    </w:p>
    <w:p w14:paraId="0000000B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4-Registrar los datos analizados (máximo 3)</w:t>
      </w:r>
      <w:r>
        <w:rPr>
          <w:rFonts w:ascii="Roboto" w:hAnsi="Roboto" w:eastAsia="Roboto" w:cs="Roboto"/>
        </w:rPr>
      </w:r>
    </w:p>
    <w:p w14:paraId="0000000C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0000000D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tbl>
      <w:tblPr>
        <w:tblStyle w:val="679"/>
        <w:tblW w:w="92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5820"/>
        <w:tblGridChange w:id="0">
          <w:tblGrid>
            <w:gridCol w:w="3390"/>
            <w:gridCol w:w="58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color w:val="0000ff"/>
              </w:rPr>
            </w:pPr>
            <w:r>
              <w:rPr>
                <w:rFonts w:ascii="Roboto" w:hAnsi="Roboto" w:eastAsia="Roboto" w:cs="Roboto"/>
                <w:color w:val="0000ff"/>
                <w:rtl w:val="0"/>
              </w:rPr>
              <w:t xml:space="preserve">Elemento a analizar</w:t>
            </w:r>
            <w:r>
              <w:rPr>
                <w:rFonts w:ascii="Roboto" w:hAnsi="Roboto" w:eastAsia="Roboto" w:cs="Roboto"/>
                <w:color w:val="0000ff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color w:val="0000ff"/>
              </w:rPr>
            </w:pPr>
            <w:r>
              <w:rPr>
                <w:rFonts w:ascii="Roboto" w:hAnsi="Roboto" w:eastAsia="Roboto" w:cs="Roboto"/>
                <w:color w:val="0000ff"/>
                <w:rtl w:val="0"/>
              </w:rPr>
              <w:t xml:space="preserve">Resultado obtenido</w:t>
            </w:r>
            <w:r>
              <w:rPr>
                <w:rFonts w:ascii="Roboto" w:hAnsi="Roboto" w:eastAsia="Roboto" w:cs="Roboto"/>
                <w:color w:val="0000ff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Nombres de los conjuntos de datos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1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Dependencia responsable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1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1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1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4-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Fecha de última actualización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A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1B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1C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Descriptores de datos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E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1F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20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Licencia o restricciones de uso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23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24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Estado(vigente, histórico)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6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27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28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Comentarios sobre los datos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A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2B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2C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</w:tbl>
    <w:p w14:paraId="0000002D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394E6FD7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color w:val="0000ff"/>
        </w:rPr>
      </w:r>
      <w:r>
        <w:rPr>
          <w:rFonts w:ascii="Roboto" w:hAnsi="Roboto" w:eastAsia="Roboto" w:cs="Roboto"/>
          <w:color w:val="0000ff"/>
        </w:rPr>
      </w:r>
      <w:r>
        <w:rPr>
          <w:rFonts w:ascii="Roboto" w:hAnsi="Roboto" w:eastAsia="Roboto" w:cs="Roboto"/>
          <w:color w:val="0000ff"/>
        </w:rPr>
      </w:r>
    </w:p>
    <w:p w14:paraId="59153E37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color w:val="0000ff"/>
        </w:rPr>
      </w:r>
      <w:r>
        <w:rPr>
          <w:rFonts w:ascii="Roboto" w:hAnsi="Roboto" w:eastAsia="Roboto" w:cs="Roboto"/>
          <w:color w:val="0000ff"/>
        </w:rPr>
      </w:r>
      <w:r>
        <w:rPr>
          <w:rFonts w:ascii="Roboto" w:hAnsi="Roboto" w:eastAsia="Roboto" w:cs="Roboto"/>
          <w:color w:val="0000ff"/>
        </w:rPr>
      </w:r>
    </w:p>
    <w:p w14:paraId="0000002E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tl w:val="0"/>
        </w:rPr>
      </w:r>
      <w:r>
        <w:rPr>
          <w:rFonts w:ascii="Roboto" w:hAnsi="Roboto" w:eastAsia="Roboto" w:cs="Roboto"/>
          <w:color w:val="0000ff"/>
        </w:rPr>
      </w:r>
    </w:p>
    <w:p w14:paraId="0000002F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tl w:val="0"/>
        </w:rPr>
      </w:r>
      <w:r>
        <w:rPr>
          <w:rFonts w:ascii="Roboto" w:hAnsi="Roboto" w:eastAsia="Roboto" w:cs="Roboto"/>
          <w:color w:val="0000ff"/>
        </w:rPr>
      </w:r>
    </w:p>
    <w:p w14:paraId="00000030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color w:val="0000ff"/>
          <w:rtl w:val="0"/>
        </w:rPr>
        <w:t xml:space="preserve">Preguntas sobre los datos analizados</w:t>
      </w:r>
      <w:r>
        <w:rPr>
          <w:rFonts w:ascii="Roboto" w:hAnsi="Roboto" w:eastAsia="Roboto" w:cs="Roboto"/>
          <w:color w:val="0000ff"/>
        </w:rPr>
      </w:r>
    </w:p>
    <w:p w14:paraId="00000031">
      <w:pPr>
        <w:pBdr/>
        <w:spacing/>
        <w:ind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¿Qué elementos de esta ficha permitirían a otra entidad decidir si puede confiar en este dato para actualizar su catastro?</w:t>
      </w:r>
      <w:r>
        <w:rPr>
          <w:rFonts w:ascii="Roboto" w:hAnsi="Roboto" w:eastAsia="Roboto" w:cs="Roboto"/>
        </w:rPr>
      </w:r>
    </w:p>
    <w:p w14:paraId="00000032">
      <w:pPr>
        <w:pBdr/>
        <w:spacing/>
        <w:ind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• ¿Qué información esperarías encontrar que no aparece aquí?</w:t>
      </w:r>
      <w:r>
        <w:rPr>
          <w:rFonts w:ascii="Roboto" w:hAnsi="Roboto" w:eastAsia="Roboto" w:cs="Roboto"/>
        </w:rPr>
      </w:r>
    </w:p>
    <w:p w14:paraId="00000033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00000034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00000035">
      <w:pPr>
        <w:pBdr/>
        <w:spacing/>
        <w:ind/>
        <w:rPr>
          <w:rFonts w:ascii="Roboto" w:hAnsi="Roboto" w:eastAsia="Roboto" w:cs="Roboto"/>
          <w:b/>
          <w:bCs/>
          <w:color w:val="0000ff"/>
        </w:rPr>
      </w:pPr>
      <w:r>
        <w:rPr>
          <w:rFonts w:ascii="Roboto" w:hAnsi="Roboto" w:eastAsia="Roboto" w:cs="Roboto"/>
          <w:b/>
          <w:bCs/>
          <w:color w:val="0000ff"/>
          <w:rtl w:val="0"/>
        </w:rPr>
        <w:t xml:space="preserve">Ejercicio 2 — Datos abiertos: descarga y exploración tabular</w:t>
      </w:r>
      <w:r>
        <w:rPr>
          <w:rFonts w:ascii="Roboto" w:hAnsi="Roboto" w:eastAsia="Roboto" w:cs="Roboto"/>
          <w:b/>
          <w:bCs/>
          <w:color w:val="0000ff"/>
        </w:rPr>
      </w:r>
    </w:p>
    <w:p w14:paraId="00000036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00000037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color w:val="0000ff"/>
          <w:rtl w:val="0"/>
        </w:rPr>
        <w:t xml:space="preserve">Objetivo</w:t>
      </w:r>
      <w:r>
        <w:rPr>
          <w:rFonts w:ascii="Roboto" w:hAnsi="Roboto" w:eastAsia="Roboto" w:cs="Roboto"/>
          <w:color w:val="0000ff"/>
        </w:rPr>
      </w:r>
    </w:p>
    <w:p w14:paraId="00000038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Descargar desde la sección de datos abiertos de GeoMedellín un conjunto de datos relacionado con catastro o usos del suelo, abrirlo en una hoja de cálculo y/o en un software geográfico y realizar una exploración básica de su contenido y calidad.</w:t>
      </w:r>
      <w:r>
        <w:rPr>
          <w:rFonts w:ascii="Roboto" w:hAnsi="Roboto" w:eastAsia="Roboto" w:cs="Roboto"/>
        </w:rPr>
      </w:r>
    </w:p>
    <w:p w14:paraId="00000039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La apertura de datos es un componente clave del catastro multipropósito moderno: habilita el uso del dato catastral por otras entidades (planeación, ambiente, movilidad) sin depender de un visor específico.</w:t>
      </w:r>
      <w:r>
        <w:rPr>
          <w:rFonts w:ascii="Roboto" w:hAnsi="Roboto" w:eastAsia="Roboto" w:cs="Roboto"/>
        </w:rPr>
      </w:r>
    </w:p>
    <w:p w14:paraId="0000003A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0000003B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color w:val="0000ff"/>
          <w:rtl w:val="0"/>
        </w:rPr>
        <w:t xml:space="preserve">Actividades a realizar</w:t>
      </w:r>
      <w:r>
        <w:rPr>
          <w:rFonts w:ascii="Roboto" w:hAnsi="Roboto" w:eastAsia="Roboto" w:cs="Roboto"/>
          <w:color w:val="0000ff"/>
        </w:rPr>
      </w:r>
    </w:p>
    <w:p w14:paraId="0000003C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1-Ingresar a GeoMedellín ir a Datos Abiertos</w:t>
      </w:r>
      <w:r>
        <w:rPr>
          <w:rFonts w:ascii="Roboto" w:hAnsi="Roboto" w:eastAsia="Roboto" w:cs="Roboto"/>
        </w:rPr>
      </w:r>
    </w:p>
    <w:p w14:paraId="0000003D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2-Realizar la búsqueda de datos relacionados con "catastro” mediante la herramienta de búsqueda o mediante la temática</w:t>
      </w:r>
      <w:r>
        <w:rPr>
          <w:rFonts w:ascii="Roboto" w:hAnsi="Roboto" w:eastAsia="Roboto" w:cs="Roboto"/>
        </w:rPr>
      </w:r>
    </w:p>
    <w:p w14:paraId="0000003E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3-Descargar los conjuntos de datos en formato csv </w:t>
      </w:r>
      <w:r>
        <w:rPr>
          <w:rFonts w:ascii="Roboto" w:hAnsi="Roboto" w:eastAsia="Roboto" w:cs="Roboto"/>
        </w:rPr>
      </w:r>
    </w:p>
    <w:p w14:paraId="0000003F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4-Descargar los descriptores de datos para la comprensión de los campos</w:t>
      </w:r>
      <w:r>
        <w:rPr>
          <w:rFonts w:ascii="Roboto" w:hAnsi="Roboto" w:eastAsia="Roboto" w:cs="Roboto"/>
        </w:rPr>
      </w:r>
    </w:p>
    <w:p w14:paraId="00000040">
      <w:pPr>
        <w:pBdr/>
        <w:spacing/>
        <w:ind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rtl w:val="0"/>
        </w:rPr>
        <w:t xml:space="preserve">5-Registrar los datos analizados (máximo 3)</w:t>
      </w:r>
      <w:r>
        <w:rPr>
          <w:rtl w:val="0"/>
        </w:rPr>
      </w:r>
      <w:r>
        <w:rPr>
          <w:rFonts w:ascii="Roboto" w:hAnsi="Roboto" w:eastAsia="Roboto" w:cs="Roboto"/>
          <w:b/>
          <w:bCs/>
        </w:rPr>
      </w:r>
    </w:p>
    <w:p w14:paraId="00000041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00000042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tbl>
      <w:tblPr>
        <w:tblStyle w:val="68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5520"/>
        <w:tblGridChange w:id="1">
          <w:tblGrid>
            <w:gridCol w:w="3480"/>
            <w:gridCol w:w="55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color w:val="0000ff"/>
              </w:rPr>
            </w:pPr>
            <w:r>
              <w:rPr>
                <w:rFonts w:ascii="Roboto" w:hAnsi="Roboto" w:eastAsia="Roboto" w:cs="Roboto"/>
                <w:color w:val="0000ff"/>
                <w:rtl w:val="0"/>
              </w:rPr>
              <w:t xml:space="preserve">Elemento a analizar</w:t>
            </w:r>
            <w:r>
              <w:rPr>
                <w:rFonts w:ascii="Roboto" w:hAnsi="Roboto" w:eastAsia="Roboto" w:cs="Roboto"/>
                <w:color w:val="0000ff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color w:val="0000ff"/>
              </w:rPr>
            </w:pPr>
            <w:r>
              <w:rPr>
                <w:rFonts w:ascii="Roboto" w:hAnsi="Roboto" w:eastAsia="Roboto" w:cs="Roboto"/>
                <w:color w:val="0000ff"/>
                <w:rtl w:val="0"/>
              </w:rPr>
              <w:t xml:space="preserve">Resultado obtenido</w:t>
            </w:r>
            <w:r>
              <w:rPr>
                <w:rFonts w:ascii="Roboto" w:hAnsi="Roboto" w:eastAsia="Roboto" w:cs="Roboto"/>
                <w:color w:val="0000ff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Conjunto datos descargado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4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4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Número total de registros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A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4B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4C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Los descriptores de datos ayudan a conocer los datos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E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4F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50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1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18"/>
                <w:szCs w:val="18"/>
                <w:rtl w:val="0"/>
              </w:rPr>
              <w:t xml:space="preserve">Comentarios sobre los datos</w:t>
            </w:r>
            <w:r>
              <w:rPr>
                <w:rtl w:val="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2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1-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53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2-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0000054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rtl w:val="0"/>
              </w:rPr>
              <w:t xml:space="preserve">3-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</w:tbl>
    <w:p w14:paraId="00000055">
      <w:pPr>
        <w:pBdr/>
        <w:spacing/>
        <w:ind/>
        <w:rPr>
          <w:rFonts w:ascii="Roboto" w:hAnsi="Roboto" w:eastAsia="Roboto" w:cs="Roboto"/>
        </w:rPr>
      </w:pPr>
      <w:r>
        <w:rPr>
          <w:rtl w:val="0"/>
        </w:rPr>
      </w:r>
      <w:r>
        <w:rPr>
          <w:rFonts w:ascii="Roboto" w:hAnsi="Roboto" w:eastAsia="Roboto" w:cs="Roboto"/>
        </w:rPr>
      </w:r>
    </w:p>
    <w:p w14:paraId="00000056">
      <w:pPr>
        <w:pBdr/>
        <w:spacing/>
        <w:ind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color w:val="0000ff"/>
          <w:rtl w:val="0"/>
        </w:rPr>
        <w:t xml:space="preserve">Preguntas sobre los datos analizados</w:t>
      </w:r>
      <w:r>
        <w:rPr>
          <w:rFonts w:ascii="Roboto" w:hAnsi="Roboto" w:eastAsia="Roboto" w:cs="Roboto"/>
          <w:color w:val="0000ff"/>
        </w:rPr>
      </w:r>
    </w:p>
    <w:p w14:paraId="00000057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¿Qué tan útil es este conjunto de datos, tal como está publicado, para alimentar un catastro</w:t>
      </w:r>
      <w:r>
        <w:rPr>
          <w:rFonts w:ascii="Roboto" w:hAnsi="Roboto" w:eastAsia="Roboto" w:cs="Roboto"/>
        </w:rPr>
      </w:r>
    </w:p>
    <w:p w14:paraId="00000058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rtl w:val="0"/>
        </w:rPr>
        <w:t xml:space="preserve">multipropósito sin procesamiento adicional?</w:t>
      </w:r>
      <w:r>
        <w:rPr>
          <w:rFonts w:ascii="Roboto" w:hAnsi="Roboto" w:eastAsia="Roboto" w:cs="Roboto"/>
        </w:rPr>
      </w:r>
    </w:p>
    <w:p w14:paraId="00000059">
      <w:pPr>
        <w:pBdr/>
        <w:spacing/>
        <w:ind/>
        <w:jc w:val="both"/>
        <w:rPr>
          <w:rFonts w:ascii="Roboto" w:hAnsi="Roboto" w:eastAsia="Roboto" w:cs="Roboto"/>
          <w:color w:val="0000ff"/>
        </w:rPr>
      </w:pPr>
      <w:r>
        <w:rPr>
          <w:rFonts w:ascii="Roboto" w:hAnsi="Roboto" w:eastAsia="Roboto" w:cs="Roboto"/>
          <w:rtl w:val="0"/>
        </w:rPr>
        <w:t xml:space="preserve">• ¿Qué pasos de limpieza o estandarización serían necesarios antes realizar aprovechamiento de la información?</w:t>
      </w:r>
      <w:r>
        <w:rPr>
          <w:rtl w:val="0"/>
        </w:rPr>
      </w:r>
      <w:r>
        <w:rPr>
          <w:rFonts w:ascii="Roboto" w:hAnsi="Roboto" w:eastAsia="Roboto" w:cs="Roboto"/>
          <w:color w:val="0000ff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ca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StGen1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