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6A6" w:rsidRDefault="001924C1">
      <w:pPr>
        <w:spacing w:after="3244"/>
        <w:ind w:left="20"/>
      </w:pPr>
      <w:bookmarkStart w:id="0" w:name="_GoBack"/>
      <w:bookmarkEnd w:id="0"/>
      <w:r>
        <w:t>Running head: FUTURE IMAGINARIES OF NON-USERS OF SOLAR ENERGY</w:t>
      </w:r>
    </w:p>
    <w:p w:rsidR="004F06A6" w:rsidRDefault="001924C1">
      <w:pPr>
        <w:spacing w:after="157" w:line="265" w:lineRule="auto"/>
        <w:ind w:left="10" w:right="13" w:hanging="10"/>
        <w:jc w:val="center"/>
      </w:pPr>
      <w:r>
        <w:t>Future imaginaries of non-users of ECO-innovations: identification and perceptions of</w:t>
      </w:r>
    </w:p>
    <w:p w:rsidR="004F06A6" w:rsidRDefault="001924C1">
      <w:pPr>
        <w:spacing w:after="479" w:line="265" w:lineRule="auto"/>
        <w:ind w:left="10" w:right="4" w:hanging="10"/>
        <w:jc w:val="center"/>
      </w:pPr>
      <w:r>
        <w:t>residential households not adopting solar energy</w:t>
      </w:r>
    </w:p>
    <w:p w:rsidR="004F06A6" w:rsidRDefault="001924C1">
      <w:pPr>
        <w:spacing w:after="515" w:line="265" w:lineRule="auto"/>
        <w:ind w:left="10" w:right="22" w:hanging="10"/>
        <w:jc w:val="center"/>
      </w:pPr>
      <w:r>
        <w:t>Marco Bunt</w:t>
      </w:r>
      <w:r>
        <w:rPr>
          <w:vertAlign w:val="superscript"/>
        </w:rPr>
        <w:t>1,2</w:t>
      </w:r>
    </w:p>
    <w:p w:rsidR="004F06A6" w:rsidRDefault="001924C1">
      <w:pPr>
        <w:numPr>
          <w:ilvl w:val="0"/>
          <w:numId w:val="1"/>
        </w:numPr>
        <w:spacing w:after="209" w:line="265" w:lineRule="auto"/>
        <w:ind w:right="10" w:hanging="173"/>
        <w:jc w:val="center"/>
      </w:pPr>
      <w:r>
        <w:t>Erasmus school of social and behavioural sciences</w:t>
      </w:r>
    </w:p>
    <w:p w:rsidR="004F06A6" w:rsidRDefault="001924C1">
      <w:pPr>
        <w:numPr>
          <w:ilvl w:val="0"/>
          <w:numId w:val="1"/>
        </w:numPr>
        <w:spacing w:after="4399" w:line="265" w:lineRule="auto"/>
        <w:ind w:right="10" w:hanging="173"/>
        <w:jc w:val="center"/>
      </w:pPr>
      <w:r>
        <w:t>Stedin netbeheer</w:t>
      </w:r>
    </w:p>
    <w:p w:rsidR="004F06A6" w:rsidRDefault="001924C1">
      <w:pPr>
        <w:spacing w:after="635" w:line="265" w:lineRule="auto"/>
        <w:ind w:left="10" w:right="13" w:hanging="10"/>
        <w:jc w:val="center"/>
      </w:pPr>
      <w:r>
        <w:t>Author Note</w:t>
      </w:r>
    </w:p>
    <w:p w:rsidR="004F06A6" w:rsidRDefault="001924C1">
      <w:pPr>
        <w:spacing w:after="163" w:line="259" w:lineRule="auto"/>
        <w:ind w:left="0" w:right="46" w:firstLine="0"/>
        <w:jc w:val="right"/>
      </w:pPr>
      <w:r>
        <w:t>This article is the graduation thesis om Marco Bunt for the study social science on the</w:t>
      </w:r>
    </w:p>
    <w:p w:rsidR="004F06A6" w:rsidRDefault="001924C1">
      <w:pPr>
        <w:spacing w:after="402" w:line="259" w:lineRule="auto"/>
        <w:ind w:left="20"/>
      </w:pPr>
      <w:r>
        <w:t>Erasmus school of social and behavioral sciences, in collaboration with Stedin.</w:t>
      </w:r>
    </w:p>
    <w:p w:rsidR="004F06A6" w:rsidRDefault="001924C1">
      <w:pPr>
        <w:spacing w:after="193" w:line="259" w:lineRule="auto"/>
        <w:ind w:left="611"/>
      </w:pPr>
      <w:r>
        <w:lastRenderedPageBreak/>
        <w:t>Correspondence concerning this article should be addressed to Marco Bunt, Stedin,</w:t>
      </w:r>
    </w:p>
    <w:p w:rsidR="004F06A6" w:rsidRDefault="001924C1">
      <w:pPr>
        <w:spacing w:line="259" w:lineRule="auto"/>
        <w:ind w:left="20"/>
      </w:pPr>
      <w:r>
        <w:t xml:space="preserve">Blaak 8, 3011 TA Rotterdam. E-mail: </w:t>
      </w:r>
      <w:r>
        <w:rPr>
          <w:color w:val="422874"/>
        </w:rPr>
        <w:t>marco.bunt@Stedin.net</w:t>
      </w:r>
    </w:p>
    <w:p w:rsidR="004F06A6" w:rsidRDefault="001924C1">
      <w:pPr>
        <w:spacing w:after="311" w:line="265" w:lineRule="auto"/>
        <w:ind w:left="10" w:right="6" w:hanging="10"/>
        <w:jc w:val="center"/>
      </w:pPr>
      <w:r>
        <w:t>Abstract</w:t>
      </w:r>
    </w:p>
    <w:p w:rsidR="004F06A6" w:rsidRDefault="001924C1">
      <w:pPr>
        <w:spacing w:after="432" w:line="259" w:lineRule="auto"/>
        <w:ind w:left="113"/>
      </w:pPr>
      <w:r>
        <w:t>Yet to be written</w:t>
      </w:r>
    </w:p>
    <w:p w:rsidR="004F06A6" w:rsidRDefault="001924C1">
      <w:pPr>
        <w:ind w:left="18" w:firstLine="576"/>
      </w:pPr>
      <w:r>
        <w:rPr>
          <w:i/>
        </w:rPr>
        <w:t xml:space="preserve">Keywords: </w:t>
      </w:r>
      <w:r>
        <w:t>future imaginaries, Sustainability, ECO-innovation, diffusion of innovation,non</w:t>
      </w:r>
      <w:r>
        <w:t>-adopters</w:t>
      </w:r>
    </w:p>
    <w:p w:rsidR="004F06A6" w:rsidRDefault="001924C1">
      <w:pPr>
        <w:spacing w:line="259" w:lineRule="auto"/>
        <w:ind w:left="611"/>
      </w:pPr>
      <w:r>
        <w:t>Word count: 2900</w:t>
      </w:r>
      <w:r>
        <w:br w:type="page"/>
      </w:r>
    </w:p>
    <w:p w:rsidR="004F06A6" w:rsidRDefault="001924C1">
      <w:pPr>
        <w:spacing w:after="157" w:line="265" w:lineRule="auto"/>
        <w:ind w:left="10" w:right="13" w:hanging="10"/>
        <w:jc w:val="center"/>
      </w:pPr>
      <w:r>
        <w:lastRenderedPageBreak/>
        <w:t>Future imaginaries of non-users of ECO-innovations: identification and perceptions of</w:t>
      </w:r>
    </w:p>
    <w:p w:rsidR="004F06A6" w:rsidRDefault="001924C1">
      <w:pPr>
        <w:spacing w:after="394" w:line="265" w:lineRule="auto"/>
        <w:ind w:left="10" w:right="4" w:hanging="10"/>
        <w:jc w:val="center"/>
      </w:pPr>
      <w:r>
        <w:t>residential households not adopting solar energy</w:t>
      </w:r>
    </w:p>
    <w:p w:rsidR="004F06A6" w:rsidRDefault="001924C1">
      <w:pPr>
        <w:pStyle w:val="Kop1"/>
        <w:spacing w:after="394"/>
      </w:pPr>
      <w:r>
        <w:t>Introduction</w:t>
      </w:r>
    </w:p>
    <w:p w:rsidR="004F06A6" w:rsidRDefault="001924C1">
      <w:pPr>
        <w:spacing w:after="284"/>
        <w:ind w:left="18" w:firstLine="584"/>
      </w:pPr>
      <w:r>
        <w:t>In the the process of modernization, unsustainability is produced as a side-effe</w:t>
      </w:r>
      <w:r>
        <w:t>ct of economic and technological development (IPCC, 2014). The unsustainability becomes visible in the over-consumption of natural resources, loss of biodiversity and climate change problems. To overcome these problems, climate change urges national and lo</w:t>
      </w:r>
      <w:r>
        <w:t>cal governments to make policies to enable energy transition from fossil energy sources that are free from emitting carbon in the atmosphere. The aim of the Dutch government is to reduce the emission of carbon by 50% or more before 2030. One of the challen</w:t>
      </w:r>
      <w:r>
        <w:t>ges in this vision is the transformation of more than 7 million houses, mostly moderately insulated and almost all heated by natural gas, to well insulated houses which are headed with energy from a sustainable source and in which clean electricity is used</w:t>
      </w:r>
      <w:r>
        <w:t xml:space="preserve"> (EZK, 2019, p. 21). This means an extensive and expansive transformation of the Dutch society in where everyone has to participate. The technology used for achieving this goal are mainly decentralized power generation through photovoltaic solar panels (PV</w:t>
      </w:r>
      <w:r>
        <w:t>), wind mills and head pumps (HP). Fossil-based transport shall be replaced by electric vehicles (EV), either with batteries or hydrogen (EZK, 2019). Technology’s like these, that enable a more sustainable way of living, will be called “ECO-innovations” (J</w:t>
      </w:r>
      <w:r>
        <w:t>ames, 1997) in this article, as described in the theoretical framework of this article.</w:t>
      </w:r>
    </w:p>
    <w:p w:rsidR="004F06A6" w:rsidRDefault="001924C1">
      <w:pPr>
        <w:spacing w:after="471"/>
        <w:ind w:left="18" w:firstLine="588"/>
      </w:pPr>
      <w:r>
        <w:t>These new technologies are lore likely to be adopted by people that have more (Rogers, 1983), and thereby improve their position in relative comparison to the people th</w:t>
      </w:r>
      <w:r>
        <w:t xml:space="preserve">at are unable to adopt(Gladwell, 2013; Robert K. Merton, 1968). Thereby people that are able to innovate are able to sustain their lifestyle as consumers while lowering their environmental impact with help of goverment subsidies, while people that are not </w:t>
      </w:r>
      <w:r>
        <w:t xml:space="preserve">adopting the new technology can only create a sustainable lifestyle by consuming less (Jhagroe &amp; Loorbach, 2015). In this way Jhagroe argues that the transitions increases the already existing gap between rich and poor (2015). Though an </w:t>
      </w:r>
      <w:r>
        <w:lastRenderedPageBreak/>
        <w:t>large amount of res</w:t>
      </w:r>
      <w:r>
        <w:t>earch is devoted to identifying innovators in general (Bogers, Afuah, &amp; Bastian, 2010) and innovators of sustainable technology such as PV (Vasseur &amp; Kemp, 2015). However, there is not much theory (that we know of) about the people who are not transitionin</w:t>
      </w:r>
      <w:r>
        <w:t>g themselves to sustainable forms of energy. Therefore academic research on this topic is needed. Late adopters of innovation are most likely to be individually blamed for not adopting an innovation or for being much later in adopting than the other member</w:t>
      </w:r>
      <w:r>
        <w:t xml:space="preserve">s of their system, while careful analysis can show that an innovation maybe is not appropriate for this group (Rogers, 1983). Therefore it is important to study the people that are not adopting sustainable innovations in the present-day energy transition, </w:t>
      </w:r>
      <w:r>
        <w:t>to prevent stigmatization for this group. In understanding why the group is not adopting this this article gains social relevance. This article studies the people that are not adopting ECO-innovations by conducting an mixed-method inquiry, including an qua</w:t>
      </w:r>
      <w:r>
        <w:t>ntitative part to identify the non-adopters, and a qualitative part to understand why they are not adopting. The former part is done via an multivariate regression analysis on the spatial diffusion of PV to find parameters predicting people not adopting. T</w:t>
      </w:r>
      <w:r>
        <w:t>he latter part is done by conducting semi-structured interviews with people from the identified groups.</w:t>
      </w:r>
    </w:p>
    <w:p w:rsidR="004F06A6" w:rsidRDefault="001924C1">
      <w:pPr>
        <w:pStyle w:val="Kop1"/>
        <w:spacing w:after="445"/>
        <w:ind w:right="12"/>
      </w:pPr>
      <w:r>
        <w:t>Problem statement</w:t>
      </w:r>
    </w:p>
    <w:p w:rsidR="004F06A6" w:rsidRDefault="001924C1">
      <w:pPr>
        <w:ind w:left="18" w:firstLine="576"/>
      </w:pPr>
      <w:r>
        <w:t>The (potential) disruptive effect that the energy transition has on the Dutch society creates a needs to precisely identify and understand the precarious publics that are - by not adopting – targeted by the process of innovating to a carbon free society. A</w:t>
      </w:r>
      <w:r>
        <w:t xml:space="preserve">ccording to Rogers late adopters are stereotypically perceived as being traditional, uneducated, resistant to change, low economic resources, and that may become a self-fulfilling prophecy (R. K. Merton, 1995; Rogers, 1983, p. 107). However, the choice to </w:t>
      </w:r>
      <w:r>
        <w:t>adopt is also not only a matter of economic resources. A division of adopters vs. not adopters of new sustainable energy technology’s merly on the availability of recourses neglects other motivations (Wyatt, 2003).</w:t>
      </w:r>
    </w:p>
    <w:p w:rsidR="004F06A6" w:rsidRDefault="001924C1">
      <w:pPr>
        <w:ind w:left="20"/>
      </w:pPr>
      <w:r>
        <w:lastRenderedPageBreak/>
        <w:t>This reasoning ignores that technological</w:t>
      </w:r>
      <w:r>
        <w:t xml:space="preserve"> innovation are always an interplay between material and social landscapes (Jasanoff &amp; Kim, 2015). Due to both the risk and uncertainty of climate change, people use different discourses to depict the future (Cook, 2018). This process, which Jasanoff calls</w:t>
      </w:r>
      <w:r>
        <w:t xml:space="preserve"> “co-production”, is about the ways in which knowledge about the world is inseparable from the ways in which we choose to live in it (2004). The adoption of innovation is, in that manner, influenced by individual and public visions of the desirable future </w:t>
      </w:r>
      <w:r>
        <w:t>in terms of social practices, identities, norms and instruments. These imaginaries are diverse and thereby both innovators and non-innovators can be divided into numerous publics for innovation discourse. Thereby the economic resources of adopters are mayb</w:t>
      </w:r>
      <w:r>
        <w:t xml:space="preserve">e not an motivator for innovation increasing the possibility of adoption on a continues scale as suggested by research (Bernards, Morren, &amp; Slootweg, 2018), but more as an enabler with a threshold from where the investment becomes possible. Sociotechnical </w:t>
      </w:r>
      <w:r>
        <w:t>imaginaries shape the future of the transition to a sustainably future, understanding this imaginaries for the non-adopters is key in understanding why this group is not innovating.</w:t>
      </w:r>
    </w:p>
    <w:p w:rsidR="004F06A6" w:rsidRDefault="001924C1">
      <w:pPr>
        <w:spacing w:after="369" w:line="259" w:lineRule="auto"/>
        <w:ind w:left="1203" w:firstLine="0"/>
      </w:pPr>
      <w:r>
        <w:rPr>
          <w:noProof/>
        </w:rPr>
        <w:drawing>
          <wp:inline distT="0" distB="0" distL="0" distR="0">
            <wp:extent cx="4457755" cy="2243135"/>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
                    <a:stretch>
                      <a:fillRect/>
                    </a:stretch>
                  </pic:blipFill>
                  <pic:spPr>
                    <a:xfrm>
                      <a:off x="0" y="0"/>
                      <a:ext cx="4457755" cy="2243135"/>
                    </a:xfrm>
                    <a:prstGeom prst="rect">
                      <a:avLst/>
                    </a:prstGeom>
                  </pic:spPr>
                </pic:pic>
              </a:graphicData>
            </a:graphic>
          </wp:inline>
        </w:drawing>
      </w:r>
    </w:p>
    <w:p w:rsidR="004F06A6" w:rsidRDefault="001924C1">
      <w:pPr>
        <w:spacing w:after="548"/>
        <w:ind w:left="20"/>
      </w:pPr>
      <w:r>
        <w:rPr>
          <w:i/>
        </w:rPr>
        <w:t>Figure 1</w:t>
      </w:r>
      <w:r>
        <w:t>. Conceptual model adaptation of sustainable technology</w:t>
      </w:r>
    </w:p>
    <w:p w:rsidR="004F06A6" w:rsidRDefault="001924C1">
      <w:pPr>
        <w:spacing w:after="281"/>
        <w:ind w:left="18" w:right="-13" w:firstLine="576"/>
        <w:jc w:val="both"/>
      </w:pPr>
      <w:r>
        <w:t>The real</w:t>
      </w:r>
      <w:r>
        <w:t xml:space="preserve"> decision making for the invesment in ECO-innovation is an interplay between the natural resources and the social world of the adopter, the effects this interplay has on the possibility of a household (not) to invest in sustainable innovations will be inve</w:t>
      </w:r>
      <w:r>
        <w:t xml:space="preserve">stigated in this </w:t>
      </w:r>
      <w:r>
        <w:lastRenderedPageBreak/>
        <w:t xml:space="preserve">article. Only the investigation of the interplay between these concepts will create an understanding of why household are not adopting new technology. This understanding makes possible public issues in the transition to sustainable energy </w:t>
      </w:r>
      <w:r>
        <w:t xml:space="preserve">visible and can thereby help in creating a more inclusive framework for transitions. The conceptual model is showed in figure </w:t>
      </w:r>
      <w:r>
        <w:rPr>
          <w:color w:val="0000FF"/>
        </w:rPr>
        <w:t>1</w:t>
      </w:r>
      <w:r>
        <w:t>. Built from the findings from Rogers that laggards non-adopters are not just negative to change, but can experience real boundar</w:t>
      </w:r>
      <w:r>
        <w:t>ies in adopting innovation (Rogers, 1983), the research question in this article is the following:</w:t>
      </w:r>
    </w:p>
    <w:p w:rsidR="004F06A6" w:rsidRDefault="001924C1">
      <w:pPr>
        <w:spacing w:after="292" w:line="398" w:lineRule="auto"/>
        <w:ind w:left="18" w:right="32" w:firstLine="588"/>
        <w:jc w:val="both"/>
      </w:pPr>
      <w:r>
        <w:rPr>
          <w:i/>
        </w:rPr>
        <w:t>What is the role of sociotechnical energy imaginaries, like climate apocalypse or sustainable future, in the adoption of ECO-innovation by residential househ</w:t>
      </w:r>
      <w:r>
        <w:rPr>
          <w:i/>
        </w:rPr>
        <w:t>olds in the Dutch society?</w:t>
      </w:r>
    </w:p>
    <w:p w:rsidR="004F06A6" w:rsidRDefault="001924C1">
      <w:pPr>
        <w:spacing w:after="398"/>
        <w:ind w:left="18" w:firstLine="576"/>
      </w:pPr>
      <w:r>
        <w:t>This questing will be investigated in two parts. The first part of the research in this article is about identifying different social groups in the adoption of innovation based on natural resources, by an empirical study of the d</w:t>
      </w:r>
      <w:r>
        <w:t>istribution of ECO-innovations in the Dutch landscape (James, 1997). By investigating the natural factors, such as annual income, house ownership and characteristic of the house itself. By investigating these factors we create more insight in the factors t</w:t>
      </w:r>
      <w:r>
        <w:t>hat enable an household to adopt new technology. The social systems that are identified as not adopting ECO-innovation is further investigated in the second part of the article. This second part is an exploration on the normative framework of the social ne</w:t>
      </w:r>
      <w:r>
        <w:t>twork of an household. This part will be investigated by conducting extensive interviews amongst identified groups.</w:t>
      </w:r>
    </w:p>
    <w:p w:rsidR="004F06A6" w:rsidRDefault="001924C1">
      <w:pPr>
        <w:pStyle w:val="Kop1"/>
        <w:spacing w:after="401"/>
      </w:pPr>
      <w:r>
        <w:t>Theoretical framework</w:t>
      </w:r>
    </w:p>
    <w:p w:rsidR="004F06A6" w:rsidRDefault="001924C1">
      <w:pPr>
        <w:ind w:left="18" w:firstLine="576"/>
      </w:pPr>
      <w:r>
        <w:t>To investigate the sociotechnical imaginaries of the people that are not adopting innovation, this article explores th</w:t>
      </w:r>
      <w:r>
        <w:t>e normative framework of persons from this group concerning sustainability. This chapter explains what we mean when we talk about imaginaries, the diffusion of ECO-innovation and social-influence.</w:t>
      </w:r>
    </w:p>
    <w:p w:rsidR="004F06A6" w:rsidRDefault="001924C1">
      <w:pPr>
        <w:pStyle w:val="Kop1"/>
        <w:spacing w:after="445" w:line="266" w:lineRule="auto"/>
        <w:ind w:left="28" w:right="0"/>
        <w:jc w:val="left"/>
      </w:pPr>
      <w:r>
        <w:lastRenderedPageBreak/>
        <w:t>Sociotechnical energy imaginaries</w:t>
      </w:r>
    </w:p>
    <w:p w:rsidR="004F06A6" w:rsidRDefault="001924C1">
      <w:pPr>
        <w:ind w:left="18" w:firstLine="609"/>
      </w:pPr>
      <w:r>
        <w:t xml:space="preserve">Imaginaries describe the </w:t>
      </w:r>
      <w:r>
        <w:t xml:space="preserve">way people imagine their social surroundings and is made visible in images, stories, and legends, necessary for common understanding of practices and a widely shared sense of legitimacy of things like borders and nationalities (Taylor, 2004). These shared </w:t>
      </w:r>
      <w:r>
        <w:t>understandings are embedded in social practices that shape the future trough the development of e.g. norms, policies and technology. Before shooting into space it is first the imagination dreaming about it (Jasanoff &amp; Kim, 2009). Methods to investigate the</w:t>
      </w:r>
      <w:r>
        <w:t xml:space="preserve"> role of imaginaries in the production of technology are conceptualized in the interpretive framework of CO-production by Jasanoff and Kim (2015), and argues that the interpretation of knowledge depends on the interest of society. Though they can originate</w:t>
      </w:r>
      <w:r>
        <w:t xml:space="preserve"> in the visions of single individuals, sociotechnical imaginaries are collectively held by making the vision public and brings together the normativity of the imagination with the materiality of networks in the production on technological [energy] projects</w:t>
      </w:r>
      <w:r>
        <w:t>. Adaptation of new technology is thereby not merely a matter of ability, but also a matter of vision. In the adaptation of PV, this vision is further complicated by the depiction of the climate. Levy and Spices (2013) convincingly derive differed imaginar</w:t>
      </w:r>
      <w:r>
        <w:t>ies from observation and analysis of the various framings of the climate actors and the media on sustainability. These four core imaginaries they identify are the 1) “fossil fuels forever”: this (obsolete) popular imaginary viewed abundant cheap fossil fue</w:t>
      </w:r>
      <w:r>
        <w:t>l as the prime motor behind a competitive industrialization. 2) the “climate apocalypse” imaginary paints an alarming picture of the coming decades, visible in movies like “day after tomorrow” (</w:t>
      </w:r>
      <w:r>
        <w:rPr>
          <w:i/>
        </w:rPr>
        <w:t>The day after tomorrow</w:t>
      </w:r>
      <w:r>
        <w:t>, 2004). The article of Cook (2018) show</w:t>
      </w:r>
      <w:r>
        <w:t>s that people that hold this imaginary see change as inevitable, attempts to avoid it is useless. 3) “techno-market” is the combination of capitalism and sustainability. In this view, the marked provides new product that enable a life as consumers in susta</w:t>
      </w:r>
      <w:r>
        <w:t>inable way’s. Cook (2018) also identifies a technology imaginary where people see a future where new technology’s will provide a solution of the climate crisis e.g. building vertical tubes in the ocean to help the ecosystem cure itself by increase the mixi</w:t>
      </w:r>
      <w:r>
        <w:t xml:space="preserve">ng of nutrient-rich with the relatively barren waters at the ocean surface. (Lovelock &amp; Rapley, 2007) 4) “Sustainable lifestyle”: these </w:t>
      </w:r>
      <w:r>
        <w:lastRenderedPageBreak/>
        <w:t>movements are inspired by an simpler and less materialistic lifestyle. In this view, solar does not necessarily needs to</w:t>
      </w:r>
      <w:r>
        <w:t xml:space="preserve"> be adopted to reduce the production of CO2.</w:t>
      </w:r>
    </w:p>
    <w:p w:rsidR="004F06A6" w:rsidRDefault="001924C1">
      <w:pPr>
        <w:spacing w:after="369" w:line="259" w:lineRule="auto"/>
        <w:ind w:left="1203" w:firstLine="0"/>
      </w:pPr>
      <w:r>
        <w:rPr>
          <w:noProof/>
        </w:rPr>
        <w:drawing>
          <wp:inline distT="0" distB="0" distL="0" distR="0">
            <wp:extent cx="4457723" cy="2995672"/>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8"/>
                    <a:stretch>
                      <a:fillRect/>
                    </a:stretch>
                  </pic:blipFill>
                  <pic:spPr>
                    <a:xfrm>
                      <a:off x="0" y="0"/>
                      <a:ext cx="4457723" cy="2995672"/>
                    </a:xfrm>
                    <a:prstGeom prst="rect">
                      <a:avLst/>
                    </a:prstGeom>
                  </pic:spPr>
                </pic:pic>
              </a:graphicData>
            </a:graphic>
          </wp:inline>
        </w:drawing>
      </w:r>
    </w:p>
    <w:p w:rsidR="004F06A6" w:rsidRDefault="001924C1">
      <w:pPr>
        <w:spacing w:after="431"/>
        <w:ind w:left="20"/>
      </w:pPr>
      <w:r>
        <w:rPr>
          <w:i/>
        </w:rPr>
        <w:t>Figure 2</w:t>
      </w:r>
      <w:r>
        <w:t>. Climate Change Imaginaries (Levy and Spices, 2013)</w:t>
      </w:r>
    </w:p>
    <w:p w:rsidR="004F06A6" w:rsidRDefault="001924C1">
      <w:pPr>
        <w:spacing w:after="323"/>
        <w:ind w:left="611"/>
      </w:pPr>
      <w:r>
        <w:t>The common practices from the climate imaginaries creates new imaginaries.</w:t>
      </w:r>
    </w:p>
    <w:p w:rsidR="004F06A6" w:rsidRDefault="001924C1">
      <w:pPr>
        <w:pStyle w:val="Kop1"/>
        <w:spacing w:after="338" w:line="266" w:lineRule="auto"/>
        <w:ind w:left="28" w:right="0"/>
        <w:jc w:val="left"/>
      </w:pPr>
      <w:r>
        <w:t>Diffusion of ECO-innovation</w:t>
      </w:r>
    </w:p>
    <w:p w:rsidR="004F06A6" w:rsidRDefault="001924C1">
      <w:pPr>
        <w:ind w:left="18" w:firstLine="603"/>
      </w:pPr>
      <w:r>
        <w:t xml:space="preserve">According to Rogers (1983), the adoption of the innovations depends on the perceived relative advantage of innovation, the complexity of the innovation, the social influence, and requied knowledge and costs. In this article, the spread of a new technology </w:t>
      </w:r>
      <w:r>
        <w:t>in a society is conceptualized by the process of diffusion of innovation, “the process by which an innovation is communicated through certain channels over time among the members of a social system.” (Rogers, 1983, p. 5). In this study, the focus is on ECO</w:t>
      </w:r>
      <w:r>
        <w:t>-innovations. ECO-innovations are about new products and processes which provide customer and business value but significantly decrease environmental impacts (James, 1997). This combination of reducing carbon emission and provide economic opportunity’s, wh</w:t>
      </w:r>
      <w:r>
        <w:t>ich is also the way the energy</w:t>
      </w:r>
    </w:p>
    <w:p w:rsidR="004F06A6" w:rsidRDefault="001924C1">
      <w:pPr>
        <w:spacing w:after="163" w:line="259" w:lineRule="auto"/>
        <w:ind w:left="20"/>
      </w:pPr>
      <w:r>
        <w:t>Table 1</w:t>
      </w:r>
    </w:p>
    <w:p w:rsidR="004F06A6" w:rsidRDefault="001924C1">
      <w:pPr>
        <w:spacing w:after="0" w:line="259" w:lineRule="auto"/>
        <w:ind w:left="28" w:right="32" w:hanging="10"/>
        <w:jc w:val="both"/>
      </w:pPr>
      <w:r>
        <w:rPr>
          <w:i/>
        </w:rPr>
        <w:lastRenderedPageBreak/>
        <w:t>Roger’s five perceived components of innovations (Rogers, 1983).</w:t>
      </w:r>
    </w:p>
    <w:tbl>
      <w:tblPr>
        <w:tblStyle w:val="TableGrid"/>
        <w:tblW w:w="7536" w:type="dxa"/>
        <w:tblInd w:w="945" w:type="dxa"/>
        <w:tblCellMar>
          <w:top w:w="102" w:type="dxa"/>
          <w:left w:w="0" w:type="dxa"/>
          <w:bottom w:w="102" w:type="dxa"/>
          <w:right w:w="115" w:type="dxa"/>
        </w:tblCellMar>
        <w:tblLook w:val="04A0" w:firstRow="1" w:lastRow="0" w:firstColumn="1" w:lastColumn="0" w:noHBand="0" w:noVBand="1"/>
      </w:tblPr>
      <w:tblGrid>
        <w:gridCol w:w="1887"/>
        <w:gridCol w:w="5649"/>
      </w:tblGrid>
      <w:tr w:rsidR="004F06A6">
        <w:trPr>
          <w:trHeight w:val="486"/>
        </w:trPr>
        <w:tc>
          <w:tcPr>
            <w:tcW w:w="1887" w:type="dxa"/>
            <w:tcBorders>
              <w:top w:val="single" w:sz="7" w:space="0" w:color="000000"/>
              <w:left w:val="nil"/>
              <w:bottom w:val="single" w:sz="5" w:space="0" w:color="000000"/>
              <w:right w:val="nil"/>
            </w:tcBorders>
            <w:vAlign w:val="center"/>
          </w:tcPr>
          <w:p w:rsidR="004F06A6" w:rsidRDefault="001924C1">
            <w:pPr>
              <w:spacing w:after="0" w:line="259" w:lineRule="auto"/>
              <w:ind w:left="120" w:firstLine="0"/>
            </w:pPr>
            <w:r>
              <w:rPr>
                <w:sz w:val="18"/>
              </w:rPr>
              <w:t>Attributes</w:t>
            </w:r>
          </w:p>
        </w:tc>
        <w:tc>
          <w:tcPr>
            <w:tcW w:w="5649" w:type="dxa"/>
            <w:tcBorders>
              <w:top w:val="single" w:sz="7" w:space="0" w:color="000000"/>
              <w:left w:val="nil"/>
              <w:bottom w:val="single" w:sz="5" w:space="0" w:color="000000"/>
              <w:right w:val="nil"/>
            </w:tcBorders>
            <w:vAlign w:val="center"/>
          </w:tcPr>
          <w:p w:rsidR="004F06A6" w:rsidRDefault="001924C1">
            <w:pPr>
              <w:spacing w:after="0" w:line="259" w:lineRule="auto"/>
              <w:ind w:left="0" w:firstLine="0"/>
            </w:pPr>
            <w:r>
              <w:rPr>
                <w:sz w:val="18"/>
              </w:rPr>
              <w:t>Definition</w:t>
            </w:r>
          </w:p>
        </w:tc>
      </w:tr>
      <w:tr w:rsidR="004F06A6">
        <w:trPr>
          <w:trHeight w:val="1189"/>
        </w:trPr>
        <w:tc>
          <w:tcPr>
            <w:tcW w:w="1887" w:type="dxa"/>
            <w:tcBorders>
              <w:top w:val="single" w:sz="5" w:space="0" w:color="000000"/>
              <w:left w:val="nil"/>
              <w:bottom w:val="nil"/>
              <w:right w:val="nil"/>
            </w:tcBorders>
          </w:tcPr>
          <w:p w:rsidR="004F06A6" w:rsidRDefault="001924C1">
            <w:pPr>
              <w:spacing w:after="0" w:line="259" w:lineRule="auto"/>
              <w:ind w:left="120" w:firstLine="0"/>
            </w:pPr>
            <w:r>
              <w:rPr>
                <w:sz w:val="18"/>
              </w:rPr>
              <w:t>Relative advantage</w:t>
            </w:r>
          </w:p>
        </w:tc>
        <w:tc>
          <w:tcPr>
            <w:tcW w:w="5649" w:type="dxa"/>
            <w:tcBorders>
              <w:top w:val="single" w:sz="5" w:space="0" w:color="000000"/>
              <w:left w:val="nil"/>
              <w:bottom w:val="nil"/>
              <w:right w:val="nil"/>
            </w:tcBorders>
            <w:vAlign w:val="bottom"/>
          </w:tcPr>
          <w:p w:rsidR="004F06A6" w:rsidRDefault="001924C1">
            <w:pPr>
              <w:spacing w:after="0" w:line="259" w:lineRule="auto"/>
              <w:ind w:left="0" w:firstLine="0"/>
            </w:pPr>
            <w:r>
              <w:rPr>
                <w:sz w:val="18"/>
              </w:rPr>
              <w:t>The degree to which an innovation is perceived as better than existing (economic, advantage, social prestige, convenience, or satisfaction).</w:t>
            </w:r>
          </w:p>
        </w:tc>
      </w:tr>
      <w:tr w:rsidR="004F06A6">
        <w:trPr>
          <w:trHeight w:val="1088"/>
        </w:trPr>
        <w:tc>
          <w:tcPr>
            <w:tcW w:w="1887" w:type="dxa"/>
            <w:tcBorders>
              <w:top w:val="nil"/>
              <w:left w:val="nil"/>
              <w:bottom w:val="nil"/>
              <w:right w:val="nil"/>
            </w:tcBorders>
          </w:tcPr>
          <w:p w:rsidR="004F06A6" w:rsidRDefault="001924C1">
            <w:pPr>
              <w:spacing w:after="0" w:line="259" w:lineRule="auto"/>
              <w:ind w:left="120" w:firstLine="0"/>
            </w:pPr>
            <w:r>
              <w:rPr>
                <w:sz w:val="18"/>
              </w:rPr>
              <w:t>Compatibility</w:t>
            </w:r>
          </w:p>
        </w:tc>
        <w:tc>
          <w:tcPr>
            <w:tcW w:w="5649" w:type="dxa"/>
            <w:tcBorders>
              <w:top w:val="nil"/>
              <w:left w:val="nil"/>
              <w:bottom w:val="nil"/>
              <w:right w:val="nil"/>
            </w:tcBorders>
            <w:vAlign w:val="center"/>
          </w:tcPr>
          <w:p w:rsidR="004F06A6" w:rsidRDefault="001924C1">
            <w:pPr>
              <w:spacing w:after="0" w:line="259" w:lineRule="auto"/>
              <w:ind w:left="0" w:firstLine="0"/>
            </w:pPr>
            <w:r>
              <w:rPr>
                <w:sz w:val="18"/>
              </w:rPr>
              <w:t>The degree to which an innovation is perceived as being consistent with the existing values, past ex</w:t>
            </w:r>
            <w:r>
              <w:rPr>
                <w:sz w:val="18"/>
              </w:rPr>
              <w:t>periences, and the needs of potential adopters.</w:t>
            </w:r>
          </w:p>
        </w:tc>
      </w:tr>
      <w:tr w:rsidR="004F06A6">
        <w:trPr>
          <w:trHeight w:val="363"/>
        </w:trPr>
        <w:tc>
          <w:tcPr>
            <w:tcW w:w="1887" w:type="dxa"/>
            <w:tcBorders>
              <w:top w:val="nil"/>
              <w:left w:val="nil"/>
              <w:bottom w:val="nil"/>
              <w:right w:val="nil"/>
            </w:tcBorders>
            <w:vAlign w:val="center"/>
          </w:tcPr>
          <w:p w:rsidR="004F06A6" w:rsidRDefault="001924C1">
            <w:pPr>
              <w:spacing w:after="0" w:line="259" w:lineRule="auto"/>
              <w:ind w:left="120" w:firstLine="0"/>
            </w:pPr>
            <w:r>
              <w:rPr>
                <w:sz w:val="18"/>
              </w:rPr>
              <w:t>Complexity</w:t>
            </w:r>
          </w:p>
        </w:tc>
        <w:tc>
          <w:tcPr>
            <w:tcW w:w="5649" w:type="dxa"/>
            <w:tcBorders>
              <w:top w:val="nil"/>
              <w:left w:val="nil"/>
              <w:bottom w:val="nil"/>
              <w:right w:val="nil"/>
            </w:tcBorders>
            <w:vAlign w:val="center"/>
          </w:tcPr>
          <w:p w:rsidR="004F06A6" w:rsidRDefault="001924C1">
            <w:pPr>
              <w:spacing w:after="0" w:line="259" w:lineRule="auto"/>
              <w:ind w:left="0" w:firstLine="0"/>
            </w:pPr>
            <w:r>
              <w:rPr>
                <w:sz w:val="18"/>
              </w:rPr>
              <w:t>The perceived difficulty to understand and use the innovation.</w:t>
            </w:r>
          </w:p>
        </w:tc>
      </w:tr>
      <w:tr w:rsidR="004F06A6">
        <w:trPr>
          <w:trHeight w:val="1088"/>
        </w:trPr>
        <w:tc>
          <w:tcPr>
            <w:tcW w:w="1887" w:type="dxa"/>
            <w:tcBorders>
              <w:top w:val="nil"/>
              <w:left w:val="nil"/>
              <w:bottom w:val="nil"/>
              <w:right w:val="nil"/>
            </w:tcBorders>
          </w:tcPr>
          <w:p w:rsidR="004F06A6" w:rsidRDefault="001924C1">
            <w:pPr>
              <w:spacing w:after="0" w:line="259" w:lineRule="auto"/>
              <w:ind w:left="120" w:firstLine="0"/>
            </w:pPr>
            <w:r>
              <w:rPr>
                <w:sz w:val="18"/>
              </w:rPr>
              <w:t>Trialability</w:t>
            </w:r>
          </w:p>
        </w:tc>
        <w:tc>
          <w:tcPr>
            <w:tcW w:w="5649" w:type="dxa"/>
            <w:tcBorders>
              <w:top w:val="nil"/>
              <w:left w:val="nil"/>
              <w:bottom w:val="nil"/>
              <w:right w:val="nil"/>
            </w:tcBorders>
            <w:vAlign w:val="center"/>
          </w:tcPr>
          <w:p w:rsidR="004F06A6" w:rsidRDefault="001924C1">
            <w:pPr>
              <w:spacing w:after="0" w:line="398" w:lineRule="auto"/>
              <w:ind w:left="0" w:firstLine="0"/>
            </w:pPr>
            <w:r>
              <w:rPr>
                <w:sz w:val="18"/>
              </w:rPr>
              <w:t>The degree to which the adoption of an innovation is experimented without making long-term commitments or incurring significant</w:t>
            </w:r>
          </w:p>
          <w:p w:rsidR="004F06A6" w:rsidRDefault="001924C1">
            <w:pPr>
              <w:spacing w:after="0" w:line="259" w:lineRule="auto"/>
              <w:ind w:left="0" w:firstLine="0"/>
            </w:pPr>
            <w:r>
              <w:rPr>
                <w:sz w:val="18"/>
              </w:rPr>
              <w:t>costs.</w:t>
            </w:r>
          </w:p>
        </w:tc>
      </w:tr>
      <w:tr w:rsidR="004F06A6">
        <w:trPr>
          <w:trHeight w:val="385"/>
        </w:trPr>
        <w:tc>
          <w:tcPr>
            <w:tcW w:w="1887" w:type="dxa"/>
            <w:tcBorders>
              <w:top w:val="nil"/>
              <w:left w:val="nil"/>
              <w:bottom w:val="single" w:sz="7" w:space="0" w:color="000000"/>
              <w:right w:val="nil"/>
            </w:tcBorders>
            <w:vAlign w:val="center"/>
          </w:tcPr>
          <w:p w:rsidR="004F06A6" w:rsidRDefault="001924C1">
            <w:pPr>
              <w:spacing w:after="0" w:line="259" w:lineRule="auto"/>
              <w:ind w:left="120" w:firstLine="0"/>
            </w:pPr>
            <w:r>
              <w:rPr>
                <w:sz w:val="18"/>
              </w:rPr>
              <w:t>Observability</w:t>
            </w:r>
          </w:p>
        </w:tc>
        <w:tc>
          <w:tcPr>
            <w:tcW w:w="5649" w:type="dxa"/>
            <w:tcBorders>
              <w:top w:val="nil"/>
              <w:left w:val="nil"/>
              <w:bottom w:val="single" w:sz="7" w:space="0" w:color="000000"/>
              <w:right w:val="nil"/>
            </w:tcBorders>
            <w:vAlign w:val="center"/>
          </w:tcPr>
          <w:p w:rsidR="004F06A6" w:rsidRDefault="001924C1">
            <w:pPr>
              <w:spacing w:after="0" w:line="259" w:lineRule="auto"/>
              <w:ind w:left="0" w:firstLine="0"/>
            </w:pPr>
            <w:r>
              <w:rPr>
                <w:sz w:val="18"/>
              </w:rPr>
              <w:t>The degree to which the results of an innovation are visible to others</w:t>
            </w:r>
          </w:p>
        </w:tc>
      </w:tr>
    </w:tbl>
    <w:p w:rsidR="004F06A6" w:rsidRDefault="001924C1">
      <w:pPr>
        <w:ind w:left="20"/>
      </w:pPr>
      <w:r>
        <w:t>transition is described in the klimaatakkoord (EZK, 2019). A communication channel is the means by which messages get from one individual to another, that can be things like media or personal relations. The strength of the ties an individual maintains with</w:t>
      </w:r>
      <w:r>
        <w:t xml:space="preserve"> a communicator of an innovation influence the change of a successful adoption. Time is involved in diffusion through the process which an individual passes from first knowledge of an innovation to forming an attitude toward the innovation, to a decision t</w:t>
      </w:r>
      <w:r>
        <w:t>o adopt or reject, to implementation of the new idea, and to confirm this decision towards the rest of the world. Thereby the time that it takes to spread an innovation in a social system is key in this research. The innovation is distributed in a social s</w:t>
      </w:r>
      <w:r>
        <w:t>ystem. There are differed types of social networks, this article focused on residential spatial networks. Rogers (1983) classified the categories of the adopters as innovators, early adopters, early majority, late majority and laggards, and an innovation i</w:t>
      </w:r>
      <w:r>
        <w:t>s spread through a network in the respective order. This diffution of innovation theory leads us to conclude that the diffusion of ECO-innovation follows a visible spatial path from innovators to the majority in an local network trough, in which the streng</w:t>
      </w:r>
      <w:r>
        <w:t>th of the relations influences the speed of adoption.</w:t>
      </w:r>
    </w:p>
    <w:p w:rsidR="004F06A6" w:rsidRDefault="001924C1">
      <w:pPr>
        <w:pStyle w:val="Kop1"/>
        <w:spacing w:after="757" w:line="266" w:lineRule="auto"/>
        <w:ind w:left="28" w:right="0"/>
        <w:jc w:val="left"/>
      </w:pPr>
      <w:r>
        <w:lastRenderedPageBreak/>
        <w:t>(Undetected) Social influence</w:t>
      </w:r>
    </w:p>
    <w:p w:rsidR="004F06A6" w:rsidRDefault="001924C1">
      <w:pPr>
        <w:spacing w:after="992"/>
        <w:ind w:left="18" w:firstLine="585"/>
      </w:pPr>
      <w:r>
        <w:t xml:space="preserve">Individuals in society do not act as independent decision-making units, but their behavior is influenced by the other members of the reference group (Salazar, Oerlemans, &amp; </w:t>
      </w:r>
      <w:r>
        <w:t>Stroe-Biezen, 2012), defining social influence as the change in an individual’s attitude or behavior that results from the interaction" with other individuals or social group. Salazar et al. (2012) studies the social in fluence that peer groups like collea</w:t>
      </w:r>
      <w:r>
        <w:t>gues, family and friends may have on sustainable consumption. They find evidence for “herd behavior” (imitations of others) and for “social learning” (learning via network). Nolan, Schultz, Cialdini, Goldstein, and Griskevicius (2008) also investigated the</w:t>
      </w:r>
      <w:r>
        <w:t xml:space="preserve"> persuasive impact of normative social influence. Additionally, they also studied the detectability of this social influence. In the study, despite the fact that participants had the least impact on their own energy conservation, the results showed that th</w:t>
      </w:r>
      <w:r>
        <w:t>e descriptive norms had an impact on the environment, that is socially responsible, or even saving money. This “naive psychology-based” beliefs about energy conservation were inaccurate predictors of actual energy conservation. This gives problems in predi</w:t>
      </w:r>
      <w:r>
        <w:t>cting the diffusion of ECO innovations, since peoples motivation for adoption is less rational than they believe themselves. In this article, the focus is on the normative frameworks on an emergent level. The aim is to investigate how the individual believ</w:t>
      </w:r>
      <w:r>
        <w:t>es fit in the social context of the individual. From this emergent pattern we try to gain knowledge about why people are not adopting ECO innovations.</w:t>
      </w:r>
    </w:p>
    <w:p w:rsidR="004F06A6" w:rsidRDefault="001924C1">
      <w:pPr>
        <w:pStyle w:val="Kop1"/>
        <w:spacing w:after="757"/>
        <w:ind w:right="102"/>
      </w:pPr>
      <w:r>
        <w:t>Study 1: identify non-adapters</w:t>
      </w:r>
    </w:p>
    <w:p w:rsidR="004F06A6" w:rsidRDefault="001924C1">
      <w:pPr>
        <w:ind w:left="18" w:firstLine="576"/>
      </w:pPr>
      <w:r>
        <w:t>The first part of this study is about the identification (and localization</w:t>
      </w:r>
      <w:r>
        <w:t xml:space="preserve">) of people that are not adopting ECO-innovation. This part of the study is mainly conducted as a preparation for the </w:t>
      </w:r>
      <w:r>
        <w:rPr>
          <w:color w:val="0000FF"/>
        </w:rPr>
        <w:t xml:space="preserve">second part </w:t>
      </w:r>
      <w:r>
        <w:t>of this article.</w:t>
      </w:r>
    </w:p>
    <w:p w:rsidR="004F06A6" w:rsidRDefault="001924C1">
      <w:pPr>
        <w:pStyle w:val="Kop1"/>
        <w:spacing w:after="342" w:line="266" w:lineRule="auto"/>
        <w:ind w:left="28" w:right="0"/>
        <w:jc w:val="left"/>
      </w:pPr>
      <w:r>
        <w:lastRenderedPageBreak/>
        <w:t>Method</w:t>
      </w:r>
    </w:p>
    <w:p w:rsidR="004F06A6" w:rsidRDefault="001924C1">
      <w:pPr>
        <w:spacing w:after="52"/>
        <w:ind w:left="18" w:firstLine="576"/>
      </w:pPr>
      <w:r>
        <w:rPr>
          <w:b/>
        </w:rPr>
        <w:t>Data.</w:t>
      </w:r>
      <w:r>
        <w:rPr>
          <w:b/>
        </w:rPr>
        <w:tab/>
      </w:r>
      <w:r>
        <w:t>(“Stedin peer database,” 2019) provided the data for the geographic location of PV. This dataset</w:t>
      </w:r>
      <w:r>
        <w:t xml:space="preserve"> contains 100.000+ locations with PV. (“Basisregistratie adressen en gebouwen (bag),” 2019) is used for information about the houses in the area. (“Rotterdam in cijfers,” n.d.) contains data about the city Rotterdam and used as a source for the following d</w:t>
      </w:r>
      <w:r>
        <w:t>ata: residential mobility, election results, annual income. The data about Rotterdam limits the scope of (some parts of) this study to the Rotterdam area</w:t>
      </w:r>
      <w:r>
        <w:rPr>
          <w:color w:val="0000FF"/>
          <w:vertAlign w:val="superscript"/>
        </w:rPr>
        <w:footnoteReference w:id="1"/>
      </w:r>
      <w:r>
        <w:t>.</w:t>
      </w:r>
    </w:p>
    <w:p w:rsidR="004F06A6" w:rsidRDefault="001924C1">
      <w:pPr>
        <w:spacing w:after="31"/>
        <w:ind w:left="18" w:firstLine="603"/>
      </w:pPr>
      <w:r>
        <w:rPr>
          <w:b/>
        </w:rPr>
        <w:t>Thresholds.</w:t>
      </w:r>
      <w:r>
        <w:rPr>
          <w:b/>
        </w:rPr>
        <w:tab/>
      </w:r>
      <w:r>
        <w:t>Because this study views natural resources as enablers for innovation (not as motivators</w:t>
      </w:r>
      <w:r>
        <w:t>), the household income is in this study used as an interval variable. To transform the interval variable to interval variable, this article uses the Dutch tax scales (belastingschalen) (Belastingdienst, 2019).</w:t>
      </w:r>
    </w:p>
    <w:p w:rsidR="004F06A6" w:rsidRDefault="001924C1">
      <w:pPr>
        <w:spacing w:after="248"/>
        <w:ind w:left="18" w:firstLine="582"/>
      </w:pPr>
      <w:r>
        <w:rPr>
          <w:b/>
        </w:rPr>
        <w:t>Procedure.</w:t>
      </w:r>
      <w:r>
        <w:rPr>
          <w:b/>
        </w:rPr>
        <w:tab/>
      </w:r>
      <w:r>
        <w:t>Insight in the variables predicting (non-)adoption is obtained via a multivariable regression analysis. The data is divided in separate groups: 1) “Natural variables”, containing the natural part of the Co-production as described by Jasanoff (2004)</w:t>
      </w:r>
      <w:r>
        <w:rPr>
          <w:color w:val="0000FF"/>
          <w:vertAlign w:val="superscript"/>
        </w:rPr>
        <w:footnoteReference w:id="2"/>
      </w:r>
      <w:r>
        <w:t>, and “</w:t>
      </w:r>
      <w:r>
        <w:t>contextual” parameters such as household income.</w:t>
      </w:r>
    </w:p>
    <w:p w:rsidR="004F06A6" w:rsidRDefault="001924C1">
      <w:pPr>
        <w:spacing w:after="311" w:line="266" w:lineRule="auto"/>
        <w:ind w:left="28" w:hanging="10"/>
      </w:pPr>
      <w:r>
        <w:rPr>
          <w:b/>
        </w:rPr>
        <w:t>Results and Discussion</w:t>
      </w:r>
    </w:p>
    <w:p w:rsidR="004F06A6" w:rsidRDefault="001924C1">
      <w:pPr>
        <w:pStyle w:val="Kop1"/>
        <w:spacing w:after="312"/>
        <w:ind w:right="102"/>
      </w:pPr>
      <w:r>
        <w:lastRenderedPageBreak/>
        <w:t>Study 2: Understanding non-adaptors</w:t>
      </w:r>
    </w:p>
    <w:p w:rsidR="004F06A6" w:rsidRDefault="001924C1">
      <w:pPr>
        <w:ind w:left="18" w:firstLine="576"/>
      </w:pPr>
      <w:r>
        <w:t xml:space="preserve">Although Rogers (1983) defines lagers of innovation typically as low educated and reluctant to change, he also argues that this group can have real </w:t>
      </w:r>
      <w:r>
        <w:t>reasons for not adopting.</w:t>
      </w:r>
    </w:p>
    <w:p w:rsidR="004F06A6" w:rsidRDefault="001924C1">
      <w:pPr>
        <w:spacing w:after="0" w:line="398" w:lineRule="auto"/>
        <w:ind w:left="28" w:right="6321" w:hanging="10"/>
        <w:jc w:val="both"/>
      </w:pPr>
      <w:r>
        <w:t xml:space="preserve">Table 2 </w:t>
      </w:r>
      <w:r>
        <w:rPr>
          <w:i/>
        </w:rPr>
        <w:t>parameters regression analysis</w:t>
      </w:r>
    </w:p>
    <w:p w:rsidR="004F06A6" w:rsidRDefault="001924C1">
      <w:pPr>
        <w:spacing w:after="190" w:line="259" w:lineRule="auto"/>
        <w:ind w:left="2653" w:firstLine="0"/>
      </w:pPr>
      <w:r>
        <w:rPr>
          <w:noProof/>
          <w:sz w:val="22"/>
        </w:rPr>
        <mc:AlternateContent>
          <mc:Choice Requires="wpg">
            <w:drawing>
              <wp:inline distT="0" distB="0" distL="0" distR="0">
                <wp:extent cx="2616136" cy="308623"/>
                <wp:effectExtent l="0" t="0" r="0" b="0"/>
                <wp:docPr id="9290" name="Group 9290"/>
                <wp:cNvGraphicFramePr/>
                <a:graphic xmlns:a="http://schemas.openxmlformats.org/drawingml/2006/main">
                  <a:graphicData uri="http://schemas.microsoft.com/office/word/2010/wordprocessingGroup">
                    <wpg:wgp>
                      <wpg:cNvGrpSpPr/>
                      <wpg:grpSpPr>
                        <a:xfrm>
                          <a:off x="0" y="0"/>
                          <a:ext cx="2616136" cy="308623"/>
                          <a:chOff x="0" y="0"/>
                          <a:chExt cx="2616136" cy="308623"/>
                        </a:xfrm>
                      </wpg:grpSpPr>
                      <wps:wsp>
                        <wps:cNvPr id="331" name="Shape 331"/>
                        <wps:cNvSpPr/>
                        <wps:spPr>
                          <a:xfrm>
                            <a:off x="0" y="0"/>
                            <a:ext cx="2616136" cy="0"/>
                          </a:xfrm>
                          <a:custGeom>
                            <a:avLst/>
                            <a:gdLst/>
                            <a:ahLst/>
                            <a:cxnLst/>
                            <a:rect l="0" t="0" r="0" b="0"/>
                            <a:pathLst>
                              <a:path w="2616136">
                                <a:moveTo>
                                  <a:pt x="0" y="0"/>
                                </a:moveTo>
                                <a:lnTo>
                                  <a:pt x="2616136" y="0"/>
                                </a:lnTo>
                              </a:path>
                            </a:pathLst>
                          </a:custGeom>
                          <a:ln w="11887" cap="flat">
                            <a:miter lim="127000"/>
                          </a:ln>
                        </wps:spPr>
                        <wps:style>
                          <a:lnRef idx="1">
                            <a:srgbClr val="000000"/>
                          </a:lnRef>
                          <a:fillRef idx="0">
                            <a:srgbClr val="000000">
                              <a:alpha val="0"/>
                            </a:srgbClr>
                          </a:fillRef>
                          <a:effectRef idx="0">
                            <a:scrgbClr r="0" g="0" b="0"/>
                          </a:effectRef>
                          <a:fontRef idx="none"/>
                        </wps:style>
                        <wps:bodyPr/>
                      </wps:wsp>
                      <wps:wsp>
                        <wps:cNvPr id="1021" name="Rectangle 1021"/>
                        <wps:cNvSpPr/>
                        <wps:spPr>
                          <a:xfrm>
                            <a:off x="75908" y="131205"/>
                            <a:ext cx="562445" cy="133732"/>
                          </a:xfrm>
                          <a:prstGeom prst="rect">
                            <a:avLst/>
                          </a:prstGeom>
                          <a:ln>
                            <a:noFill/>
                          </a:ln>
                        </wps:spPr>
                        <wps:txbx>
                          <w:txbxContent>
                            <w:p w:rsidR="004F06A6" w:rsidRDefault="001924C1">
                              <w:pPr>
                                <w:spacing w:after="160" w:line="259" w:lineRule="auto"/>
                                <w:ind w:left="0" w:firstLine="0"/>
                              </w:pPr>
                              <w:r>
                                <w:rPr>
                                  <w:w w:val="112"/>
                                  <w:sz w:val="18"/>
                                </w:rPr>
                                <w:t>Variable</w:t>
                              </w:r>
                            </w:p>
                          </w:txbxContent>
                        </wps:txbx>
                        <wps:bodyPr horzOverflow="overflow" vert="horz" lIns="0" tIns="0" rIns="0" bIns="0" rtlCol="0">
                          <a:noAutofit/>
                        </wps:bodyPr>
                      </wps:wsp>
                      <wps:wsp>
                        <wps:cNvPr id="1022" name="Rectangle 1022"/>
                        <wps:cNvSpPr/>
                        <wps:spPr>
                          <a:xfrm>
                            <a:off x="1218364" y="131205"/>
                            <a:ext cx="737599" cy="133732"/>
                          </a:xfrm>
                          <a:prstGeom prst="rect">
                            <a:avLst/>
                          </a:prstGeom>
                          <a:ln>
                            <a:noFill/>
                          </a:ln>
                        </wps:spPr>
                        <wps:txbx>
                          <w:txbxContent>
                            <w:p w:rsidR="004F06A6" w:rsidRDefault="001924C1">
                              <w:pPr>
                                <w:spacing w:after="160" w:line="259" w:lineRule="auto"/>
                                <w:ind w:left="0" w:firstLine="0"/>
                              </w:pPr>
                              <w:r>
                                <w:rPr>
                                  <w:w w:val="112"/>
                                  <w:sz w:val="18"/>
                                </w:rPr>
                                <w:t>Rotterdam</w:t>
                              </w:r>
                            </w:p>
                          </w:txbxContent>
                        </wps:txbx>
                        <wps:bodyPr horzOverflow="overflow" vert="horz" lIns="0" tIns="0" rIns="0" bIns="0" rtlCol="0">
                          <a:noAutofit/>
                        </wps:bodyPr>
                      </wps:wsp>
                      <wps:wsp>
                        <wps:cNvPr id="1023" name="Rectangle 1023"/>
                        <wps:cNvSpPr/>
                        <wps:spPr>
                          <a:xfrm>
                            <a:off x="1924743" y="131205"/>
                            <a:ext cx="818535" cy="133732"/>
                          </a:xfrm>
                          <a:prstGeom prst="rect">
                            <a:avLst/>
                          </a:prstGeom>
                          <a:ln>
                            <a:noFill/>
                          </a:ln>
                        </wps:spPr>
                        <wps:txbx>
                          <w:txbxContent>
                            <w:p w:rsidR="004F06A6" w:rsidRDefault="001924C1">
                              <w:pPr>
                                <w:spacing w:after="160" w:line="259" w:lineRule="auto"/>
                                <w:ind w:left="0" w:firstLine="0"/>
                              </w:pPr>
                              <w:r>
                                <w:rPr>
                                  <w:w w:val="109"/>
                                  <w:sz w:val="18"/>
                                </w:rPr>
                                <w:t>Netherlands</w:t>
                              </w:r>
                            </w:p>
                          </w:txbxContent>
                        </wps:txbx>
                        <wps:bodyPr horzOverflow="overflow" vert="horz" lIns="0" tIns="0" rIns="0" bIns="0" rtlCol="0">
                          <a:noAutofit/>
                        </wps:bodyPr>
                      </wps:wsp>
                      <wps:wsp>
                        <wps:cNvPr id="333" name="Shape 333"/>
                        <wps:cNvSpPr/>
                        <wps:spPr>
                          <a:xfrm>
                            <a:off x="0" y="308623"/>
                            <a:ext cx="2616136" cy="0"/>
                          </a:xfrm>
                          <a:custGeom>
                            <a:avLst/>
                            <a:gdLst/>
                            <a:ahLst/>
                            <a:cxnLst/>
                            <a:rect l="0" t="0" r="0" b="0"/>
                            <a:pathLst>
                              <a:path w="2616136">
                                <a:moveTo>
                                  <a:pt x="0" y="0"/>
                                </a:moveTo>
                                <a:lnTo>
                                  <a:pt x="2616136" y="0"/>
                                </a:lnTo>
                              </a:path>
                            </a:pathLst>
                          </a:custGeom>
                          <a:ln w="742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90" style="width:205.995pt;height:24.301pt;mso-position-horizontal-relative:char;mso-position-vertical-relative:line" coordsize="26161,3086">
                <v:shape id="Shape 331" style="position:absolute;width:26161;height:0;left:0;top:0;" coordsize="2616136,0" path="m0,0l2616136,0">
                  <v:stroke weight="0.936pt" endcap="flat" joinstyle="miter" miterlimit="10" on="true" color="#000000"/>
                  <v:fill on="false" color="#000000" opacity="0"/>
                </v:shape>
                <v:rect id="Rectangle 1021" style="position:absolute;width:5624;height:1337;left:759;top:1312;" filled="f" stroked="f">
                  <v:textbox inset="0,0,0,0">
                    <w:txbxContent>
                      <w:p>
                        <w:pPr>
                          <w:spacing w:before="0" w:after="160" w:line="259" w:lineRule="auto"/>
                          <w:ind w:left="0" w:firstLine="0"/>
                        </w:pPr>
                        <w:r>
                          <w:rPr>
                            <w:rFonts w:cs="Calibri" w:hAnsi="Calibri" w:eastAsia="Calibri" w:ascii="Calibri"/>
                            <w:w w:val="112"/>
                            <w:sz w:val="18"/>
                          </w:rPr>
                          <w:t xml:space="preserve">Variable</w:t>
                        </w:r>
                      </w:p>
                    </w:txbxContent>
                  </v:textbox>
                </v:rect>
                <v:rect id="Rectangle 1022" style="position:absolute;width:7375;height:1337;left:12183;top:1312;" filled="f" stroked="f">
                  <v:textbox inset="0,0,0,0">
                    <w:txbxContent>
                      <w:p>
                        <w:pPr>
                          <w:spacing w:before="0" w:after="160" w:line="259" w:lineRule="auto"/>
                          <w:ind w:left="0" w:firstLine="0"/>
                        </w:pPr>
                        <w:r>
                          <w:rPr>
                            <w:rFonts w:cs="Calibri" w:hAnsi="Calibri" w:eastAsia="Calibri" w:ascii="Calibri"/>
                            <w:w w:val="112"/>
                            <w:sz w:val="18"/>
                          </w:rPr>
                          <w:t xml:space="preserve">Rotterdam</w:t>
                        </w:r>
                      </w:p>
                    </w:txbxContent>
                  </v:textbox>
                </v:rect>
                <v:rect id="Rectangle 1023" style="position:absolute;width:8185;height:1337;left:19247;top:1312;" filled="f" stroked="f">
                  <v:textbox inset="0,0,0,0">
                    <w:txbxContent>
                      <w:p>
                        <w:pPr>
                          <w:spacing w:before="0" w:after="160" w:line="259" w:lineRule="auto"/>
                          <w:ind w:left="0" w:firstLine="0"/>
                        </w:pPr>
                        <w:r>
                          <w:rPr>
                            <w:rFonts w:cs="Calibri" w:hAnsi="Calibri" w:eastAsia="Calibri" w:ascii="Calibri"/>
                            <w:w w:val="109"/>
                            <w:sz w:val="18"/>
                          </w:rPr>
                          <w:t xml:space="preserve">Netherlands</w:t>
                        </w:r>
                      </w:p>
                    </w:txbxContent>
                  </v:textbox>
                </v:rect>
                <v:shape id="Shape 333" style="position:absolute;width:26161;height:0;left:0;top:3086;" coordsize="2616136,0" path="m0,0l2616136,0">
                  <v:stroke weight="0.585pt" endcap="flat" joinstyle="miter" miterlimit="10" on="true" color="#000000"/>
                  <v:fill on="false" color="#000000" opacity="0"/>
                </v:shape>
              </v:group>
            </w:pict>
          </mc:Fallback>
        </mc:AlternateContent>
      </w:r>
    </w:p>
    <w:p w:rsidR="004F06A6" w:rsidRDefault="001924C1">
      <w:pPr>
        <w:spacing w:after="0" w:line="259" w:lineRule="auto"/>
        <w:ind w:left="2773" w:firstLine="0"/>
      </w:pPr>
      <w:r>
        <w:rPr>
          <w:b/>
          <w:sz w:val="18"/>
        </w:rPr>
        <w:t>Natural resources</w:t>
      </w:r>
    </w:p>
    <w:tbl>
      <w:tblPr>
        <w:tblStyle w:val="TableGrid"/>
        <w:tblW w:w="3009" w:type="dxa"/>
        <w:tblInd w:w="2773" w:type="dxa"/>
        <w:tblCellMar>
          <w:top w:w="0" w:type="dxa"/>
          <w:left w:w="0" w:type="dxa"/>
          <w:bottom w:w="0" w:type="dxa"/>
          <w:right w:w="0" w:type="dxa"/>
        </w:tblCellMar>
        <w:tblLook w:val="04A0" w:firstRow="1" w:lastRow="0" w:firstColumn="1" w:lastColumn="0" w:noHBand="0" w:noVBand="1"/>
      </w:tblPr>
      <w:tblGrid>
        <w:gridCol w:w="2912"/>
        <w:gridCol w:w="97"/>
      </w:tblGrid>
      <w:tr w:rsidR="004F06A6">
        <w:trPr>
          <w:trHeight w:val="261"/>
        </w:trPr>
        <w:tc>
          <w:tcPr>
            <w:tcW w:w="2912" w:type="dxa"/>
            <w:tcBorders>
              <w:top w:val="nil"/>
              <w:left w:val="nil"/>
              <w:bottom w:val="nil"/>
              <w:right w:val="nil"/>
            </w:tcBorders>
          </w:tcPr>
          <w:p w:rsidR="004F06A6" w:rsidRDefault="001924C1">
            <w:pPr>
              <w:tabs>
                <w:tab w:val="center" w:pos="1848"/>
              </w:tabs>
              <w:spacing w:after="0" w:line="259" w:lineRule="auto"/>
              <w:ind w:left="0" w:firstLine="0"/>
            </w:pPr>
            <w:r>
              <w:rPr>
                <w:sz w:val="18"/>
              </w:rPr>
              <w:t>InstalledPV</w:t>
            </w:r>
            <w:r>
              <w:rPr>
                <w:sz w:val="18"/>
              </w:rPr>
              <w:tab/>
              <w:t>x</w:t>
            </w:r>
          </w:p>
        </w:tc>
        <w:tc>
          <w:tcPr>
            <w:tcW w:w="97" w:type="dxa"/>
            <w:tcBorders>
              <w:top w:val="nil"/>
              <w:left w:val="nil"/>
              <w:bottom w:val="nil"/>
              <w:right w:val="nil"/>
            </w:tcBorders>
          </w:tcPr>
          <w:p w:rsidR="004F06A6" w:rsidRDefault="001924C1">
            <w:pPr>
              <w:spacing w:after="0" w:line="259" w:lineRule="auto"/>
              <w:ind w:left="0" w:firstLine="0"/>
              <w:jc w:val="both"/>
            </w:pPr>
            <w:r>
              <w:rPr>
                <w:sz w:val="18"/>
              </w:rPr>
              <w:t>x</w:t>
            </w:r>
          </w:p>
        </w:tc>
      </w:tr>
      <w:tr w:rsidR="004F06A6">
        <w:trPr>
          <w:trHeight w:val="363"/>
        </w:trPr>
        <w:tc>
          <w:tcPr>
            <w:tcW w:w="2912" w:type="dxa"/>
            <w:tcBorders>
              <w:top w:val="nil"/>
              <w:left w:val="nil"/>
              <w:bottom w:val="nil"/>
              <w:right w:val="nil"/>
            </w:tcBorders>
            <w:vAlign w:val="center"/>
          </w:tcPr>
          <w:p w:rsidR="004F06A6" w:rsidRDefault="001924C1">
            <w:pPr>
              <w:tabs>
                <w:tab w:val="center" w:pos="1848"/>
              </w:tabs>
              <w:spacing w:after="0" w:line="259" w:lineRule="auto"/>
              <w:ind w:left="0" w:firstLine="0"/>
            </w:pPr>
            <w:r>
              <w:rPr>
                <w:sz w:val="18"/>
              </w:rPr>
              <w:t>HousePrice</w:t>
            </w:r>
            <w:r>
              <w:rPr>
                <w:sz w:val="18"/>
              </w:rPr>
              <w:tab/>
              <w:t>x</w:t>
            </w:r>
          </w:p>
        </w:tc>
        <w:tc>
          <w:tcPr>
            <w:tcW w:w="97" w:type="dxa"/>
            <w:tcBorders>
              <w:top w:val="nil"/>
              <w:left w:val="nil"/>
              <w:bottom w:val="nil"/>
              <w:right w:val="nil"/>
            </w:tcBorders>
            <w:vAlign w:val="center"/>
          </w:tcPr>
          <w:p w:rsidR="004F06A6" w:rsidRDefault="001924C1">
            <w:pPr>
              <w:spacing w:after="0" w:line="259" w:lineRule="auto"/>
              <w:ind w:left="0" w:firstLine="0"/>
              <w:jc w:val="both"/>
            </w:pPr>
            <w:r>
              <w:rPr>
                <w:sz w:val="18"/>
              </w:rPr>
              <w:t>x</w:t>
            </w:r>
          </w:p>
        </w:tc>
      </w:tr>
      <w:tr w:rsidR="004F06A6">
        <w:trPr>
          <w:trHeight w:val="363"/>
        </w:trPr>
        <w:tc>
          <w:tcPr>
            <w:tcW w:w="2912" w:type="dxa"/>
            <w:tcBorders>
              <w:top w:val="nil"/>
              <w:left w:val="nil"/>
              <w:bottom w:val="nil"/>
              <w:right w:val="nil"/>
            </w:tcBorders>
            <w:vAlign w:val="center"/>
          </w:tcPr>
          <w:p w:rsidR="004F06A6" w:rsidRDefault="001924C1">
            <w:pPr>
              <w:tabs>
                <w:tab w:val="center" w:pos="1848"/>
              </w:tabs>
              <w:spacing w:after="0" w:line="259" w:lineRule="auto"/>
              <w:ind w:left="0" w:firstLine="0"/>
            </w:pPr>
            <w:r>
              <w:rPr>
                <w:sz w:val="18"/>
              </w:rPr>
              <w:t>SizeHouse</w:t>
            </w:r>
            <w:r>
              <w:rPr>
                <w:sz w:val="18"/>
              </w:rPr>
              <w:tab/>
              <w:t>x</w:t>
            </w:r>
          </w:p>
        </w:tc>
        <w:tc>
          <w:tcPr>
            <w:tcW w:w="97" w:type="dxa"/>
            <w:tcBorders>
              <w:top w:val="nil"/>
              <w:left w:val="nil"/>
              <w:bottom w:val="nil"/>
              <w:right w:val="nil"/>
            </w:tcBorders>
            <w:vAlign w:val="center"/>
          </w:tcPr>
          <w:p w:rsidR="004F06A6" w:rsidRDefault="001924C1">
            <w:pPr>
              <w:spacing w:after="0" w:line="259" w:lineRule="auto"/>
              <w:ind w:left="0" w:firstLine="0"/>
              <w:jc w:val="both"/>
            </w:pPr>
            <w:r>
              <w:rPr>
                <w:sz w:val="18"/>
              </w:rPr>
              <w:t>x</w:t>
            </w:r>
          </w:p>
        </w:tc>
      </w:tr>
      <w:tr w:rsidR="004F06A6">
        <w:trPr>
          <w:trHeight w:val="363"/>
        </w:trPr>
        <w:tc>
          <w:tcPr>
            <w:tcW w:w="2912" w:type="dxa"/>
            <w:tcBorders>
              <w:top w:val="nil"/>
              <w:left w:val="nil"/>
              <w:bottom w:val="nil"/>
              <w:right w:val="nil"/>
            </w:tcBorders>
            <w:vAlign w:val="center"/>
          </w:tcPr>
          <w:p w:rsidR="004F06A6" w:rsidRDefault="001924C1">
            <w:pPr>
              <w:tabs>
                <w:tab w:val="center" w:pos="1848"/>
              </w:tabs>
              <w:spacing w:after="0" w:line="259" w:lineRule="auto"/>
              <w:ind w:left="0" w:firstLine="0"/>
            </w:pPr>
            <w:r>
              <w:rPr>
                <w:sz w:val="18"/>
              </w:rPr>
              <w:t>ConstructYear</w:t>
            </w:r>
            <w:r>
              <w:rPr>
                <w:sz w:val="18"/>
              </w:rPr>
              <w:tab/>
              <w:t>x</w:t>
            </w:r>
          </w:p>
        </w:tc>
        <w:tc>
          <w:tcPr>
            <w:tcW w:w="97" w:type="dxa"/>
            <w:tcBorders>
              <w:top w:val="nil"/>
              <w:left w:val="nil"/>
              <w:bottom w:val="nil"/>
              <w:right w:val="nil"/>
            </w:tcBorders>
            <w:vAlign w:val="center"/>
          </w:tcPr>
          <w:p w:rsidR="004F06A6" w:rsidRDefault="001924C1">
            <w:pPr>
              <w:spacing w:after="0" w:line="259" w:lineRule="auto"/>
              <w:ind w:left="0" w:firstLine="0"/>
              <w:jc w:val="both"/>
            </w:pPr>
            <w:r>
              <w:rPr>
                <w:sz w:val="18"/>
              </w:rPr>
              <w:t>x</w:t>
            </w:r>
          </w:p>
        </w:tc>
      </w:tr>
      <w:tr w:rsidR="004F06A6">
        <w:trPr>
          <w:trHeight w:val="1143"/>
        </w:trPr>
        <w:tc>
          <w:tcPr>
            <w:tcW w:w="2912" w:type="dxa"/>
            <w:tcBorders>
              <w:top w:val="nil"/>
              <w:left w:val="nil"/>
              <w:bottom w:val="nil"/>
              <w:right w:val="nil"/>
            </w:tcBorders>
            <w:vAlign w:val="center"/>
          </w:tcPr>
          <w:p w:rsidR="004F06A6" w:rsidRDefault="001924C1">
            <w:pPr>
              <w:tabs>
                <w:tab w:val="center" w:pos="1848"/>
              </w:tabs>
              <w:spacing w:after="190" w:line="259" w:lineRule="auto"/>
              <w:ind w:left="0" w:firstLine="0"/>
            </w:pPr>
            <w:r>
              <w:rPr>
                <w:sz w:val="18"/>
              </w:rPr>
              <w:t>SizeRooftop</w:t>
            </w:r>
            <w:r>
              <w:rPr>
                <w:sz w:val="18"/>
              </w:rPr>
              <w:tab/>
              <w:t>x</w:t>
            </w:r>
          </w:p>
          <w:p w:rsidR="004F06A6" w:rsidRDefault="001924C1">
            <w:pPr>
              <w:spacing w:after="149" w:line="259" w:lineRule="auto"/>
              <w:ind w:left="0" w:firstLine="0"/>
            </w:pPr>
            <w:r>
              <w:rPr>
                <w:b/>
                <w:sz w:val="18"/>
              </w:rPr>
              <w:t>Contextual parameters</w:t>
            </w:r>
          </w:p>
          <w:p w:rsidR="004F06A6" w:rsidRDefault="001924C1">
            <w:pPr>
              <w:tabs>
                <w:tab w:val="center" w:pos="1848"/>
              </w:tabs>
              <w:spacing w:after="0" w:line="259" w:lineRule="auto"/>
              <w:ind w:left="0" w:firstLine="0"/>
            </w:pPr>
            <w:r>
              <w:rPr>
                <w:sz w:val="18"/>
              </w:rPr>
              <w:t>ResidentMobility</w:t>
            </w:r>
            <w:r>
              <w:rPr>
                <w:sz w:val="18"/>
              </w:rPr>
              <w:tab/>
              <w:t>x</w:t>
            </w:r>
          </w:p>
        </w:tc>
        <w:tc>
          <w:tcPr>
            <w:tcW w:w="97" w:type="dxa"/>
            <w:tcBorders>
              <w:top w:val="nil"/>
              <w:left w:val="nil"/>
              <w:bottom w:val="nil"/>
              <w:right w:val="nil"/>
            </w:tcBorders>
          </w:tcPr>
          <w:p w:rsidR="004F06A6" w:rsidRDefault="001924C1">
            <w:pPr>
              <w:spacing w:after="0" w:line="259" w:lineRule="auto"/>
              <w:ind w:left="0" w:firstLine="0"/>
              <w:jc w:val="both"/>
            </w:pPr>
            <w:r>
              <w:rPr>
                <w:sz w:val="18"/>
              </w:rPr>
              <w:t>x</w:t>
            </w:r>
          </w:p>
        </w:tc>
      </w:tr>
      <w:tr w:rsidR="004F06A6">
        <w:trPr>
          <w:trHeight w:val="363"/>
        </w:trPr>
        <w:tc>
          <w:tcPr>
            <w:tcW w:w="2912" w:type="dxa"/>
            <w:tcBorders>
              <w:top w:val="nil"/>
              <w:left w:val="nil"/>
              <w:bottom w:val="nil"/>
              <w:right w:val="nil"/>
            </w:tcBorders>
            <w:vAlign w:val="center"/>
          </w:tcPr>
          <w:p w:rsidR="004F06A6" w:rsidRDefault="001924C1">
            <w:pPr>
              <w:tabs>
                <w:tab w:val="center" w:pos="1848"/>
              </w:tabs>
              <w:spacing w:after="0" w:line="259" w:lineRule="auto"/>
              <w:ind w:left="0" w:firstLine="0"/>
            </w:pPr>
            <w:r>
              <w:rPr>
                <w:sz w:val="18"/>
              </w:rPr>
              <w:t>Ownership</w:t>
            </w:r>
            <w:r>
              <w:rPr>
                <w:sz w:val="18"/>
              </w:rPr>
              <w:tab/>
              <w:t>x</w:t>
            </w:r>
          </w:p>
        </w:tc>
        <w:tc>
          <w:tcPr>
            <w:tcW w:w="97" w:type="dxa"/>
            <w:tcBorders>
              <w:top w:val="nil"/>
              <w:left w:val="nil"/>
              <w:bottom w:val="nil"/>
              <w:right w:val="nil"/>
            </w:tcBorders>
            <w:vAlign w:val="center"/>
          </w:tcPr>
          <w:p w:rsidR="004F06A6" w:rsidRDefault="001924C1">
            <w:pPr>
              <w:spacing w:after="0" w:line="259" w:lineRule="auto"/>
              <w:ind w:left="0" w:firstLine="0"/>
              <w:jc w:val="both"/>
            </w:pPr>
            <w:r>
              <w:rPr>
                <w:sz w:val="18"/>
              </w:rPr>
              <w:t>x</w:t>
            </w:r>
          </w:p>
        </w:tc>
      </w:tr>
      <w:tr w:rsidR="004F06A6">
        <w:trPr>
          <w:trHeight w:val="363"/>
        </w:trPr>
        <w:tc>
          <w:tcPr>
            <w:tcW w:w="2912" w:type="dxa"/>
            <w:tcBorders>
              <w:top w:val="nil"/>
              <w:left w:val="nil"/>
              <w:bottom w:val="nil"/>
              <w:right w:val="nil"/>
            </w:tcBorders>
            <w:vAlign w:val="center"/>
          </w:tcPr>
          <w:p w:rsidR="004F06A6" w:rsidRDefault="001924C1">
            <w:pPr>
              <w:tabs>
                <w:tab w:val="center" w:pos="1848"/>
              </w:tabs>
              <w:spacing w:after="0" w:line="259" w:lineRule="auto"/>
              <w:ind w:left="0" w:firstLine="0"/>
            </w:pPr>
            <w:r>
              <w:rPr>
                <w:sz w:val="18"/>
              </w:rPr>
              <w:t>DistrHeat</w:t>
            </w:r>
            <w:r>
              <w:rPr>
                <w:sz w:val="18"/>
              </w:rPr>
              <w:tab/>
              <w:t>x</w:t>
            </w:r>
          </w:p>
        </w:tc>
        <w:tc>
          <w:tcPr>
            <w:tcW w:w="97" w:type="dxa"/>
            <w:tcBorders>
              <w:top w:val="nil"/>
              <w:left w:val="nil"/>
              <w:bottom w:val="nil"/>
              <w:right w:val="nil"/>
            </w:tcBorders>
            <w:vAlign w:val="center"/>
          </w:tcPr>
          <w:p w:rsidR="004F06A6" w:rsidRDefault="001924C1">
            <w:pPr>
              <w:spacing w:after="0" w:line="259" w:lineRule="auto"/>
              <w:ind w:left="0" w:firstLine="0"/>
              <w:jc w:val="both"/>
            </w:pPr>
            <w:r>
              <w:rPr>
                <w:sz w:val="18"/>
              </w:rPr>
              <w:t>x</w:t>
            </w:r>
          </w:p>
        </w:tc>
      </w:tr>
      <w:tr w:rsidR="004F06A6">
        <w:trPr>
          <w:trHeight w:val="363"/>
        </w:trPr>
        <w:tc>
          <w:tcPr>
            <w:tcW w:w="2912" w:type="dxa"/>
            <w:tcBorders>
              <w:top w:val="nil"/>
              <w:left w:val="nil"/>
              <w:bottom w:val="nil"/>
              <w:right w:val="nil"/>
            </w:tcBorders>
            <w:vAlign w:val="center"/>
          </w:tcPr>
          <w:p w:rsidR="004F06A6" w:rsidRDefault="001924C1">
            <w:pPr>
              <w:tabs>
                <w:tab w:val="center" w:pos="1848"/>
              </w:tabs>
              <w:spacing w:after="0" w:line="259" w:lineRule="auto"/>
              <w:ind w:left="0" w:firstLine="0"/>
            </w:pPr>
            <w:r>
              <w:rPr>
                <w:sz w:val="18"/>
              </w:rPr>
              <w:t>Income</w:t>
            </w:r>
            <w:r>
              <w:rPr>
                <w:sz w:val="18"/>
              </w:rPr>
              <w:tab/>
              <w:t>x</w:t>
            </w:r>
          </w:p>
        </w:tc>
        <w:tc>
          <w:tcPr>
            <w:tcW w:w="97" w:type="dxa"/>
            <w:tcBorders>
              <w:top w:val="nil"/>
              <w:left w:val="nil"/>
              <w:bottom w:val="nil"/>
              <w:right w:val="nil"/>
            </w:tcBorders>
            <w:vAlign w:val="center"/>
          </w:tcPr>
          <w:p w:rsidR="004F06A6" w:rsidRDefault="001924C1">
            <w:pPr>
              <w:spacing w:after="0" w:line="259" w:lineRule="auto"/>
              <w:ind w:left="0" w:firstLine="0"/>
              <w:jc w:val="both"/>
            </w:pPr>
            <w:r>
              <w:rPr>
                <w:sz w:val="18"/>
              </w:rPr>
              <w:t>x</w:t>
            </w:r>
          </w:p>
        </w:tc>
      </w:tr>
      <w:tr w:rsidR="004F06A6">
        <w:trPr>
          <w:trHeight w:val="261"/>
        </w:trPr>
        <w:tc>
          <w:tcPr>
            <w:tcW w:w="2912" w:type="dxa"/>
            <w:tcBorders>
              <w:top w:val="nil"/>
              <w:left w:val="nil"/>
              <w:bottom w:val="nil"/>
              <w:right w:val="nil"/>
            </w:tcBorders>
            <w:vAlign w:val="bottom"/>
          </w:tcPr>
          <w:p w:rsidR="004F06A6" w:rsidRDefault="001924C1">
            <w:pPr>
              <w:tabs>
                <w:tab w:val="center" w:pos="1848"/>
              </w:tabs>
              <w:spacing w:after="0" w:line="259" w:lineRule="auto"/>
              <w:ind w:left="0" w:firstLine="0"/>
            </w:pPr>
            <w:r>
              <w:rPr>
                <w:sz w:val="18"/>
              </w:rPr>
              <w:t>ElectionResults</w:t>
            </w:r>
            <w:r>
              <w:rPr>
                <w:sz w:val="18"/>
              </w:rPr>
              <w:tab/>
              <w:t>x</w:t>
            </w:r>
          </w:p>
        </w:tc>
        <w:tc>
          <w:tcPr>
            <w:tcW w:w="97" w:type="dxa"/>
            <w:tcBorders>
              <w:top w:val="nil"/>
              <w:left w:val="nil"/>
              <w:bottom w:val="nil"/>
              <w:right w:val="nil"/>
            </w:tcBorders>
            <w:vAlign w:val="bottom"/>
          </w:tcPr>
          <w:p w:rsidR="004F06A6" w:rsidRDefault="001924C1">
            <w:pPr>
              <w:spacing w:after="0" w:line="259" w:lineRule="auto"/>
              <w:ind w:left="0" w:firstLine="0"/>
              <w:jc w:val="both"/>
            </w:pPr>
            <w:r>
              <w:rPr>
                <w:sz w:val="18"/>
              </w:rPr>
              <w:t>x</w:t>
            </w:r>
          </w:p>
        </w:tc>
      </w:tr>
    </w:tbl>
    <w:p w:rsidR="004F06A6" w:rsidRDefault="001924C1">
      <w:pPr>
        <w:spacing w:after="511" w:line="259" w:lineRule="auto"/>
        <w:ind w:left="2653" w:firstLine="0"/>
      </w:pPr>
      <w:r>
        <w:rPr>
          <w:noProof/>
          <w:sz w:val="22"/>
        </w:rPr>
        <mc:AlternateContent>
          <mc:Choice Requires="wpg">
            <w:drawing>
              <wp:inline distT="0" distB="0" distL="0" distR="0">
                <wp:extent cx="2616136" cy="11887"/>
                <wp:effectExtent l="0" t="0" r="0" b="0"/>
                <wp:docPr id="9291" name="Group 9291"/>
                <wp:cNvGraphicFramePr/>
                <a:graphic xmlns:a="http://schemas.openxmlformats.org/drawingml/2006/main">
                  <a:graphicData uri="http://schemas.microsoft.com/office/word/2010/wordprocessingGroup">
                    <wpg:wgp>
                      <wpg:cNvGrpSpPr/>
                      <wpg:grpSpPr>
                        <a:xfrm>
                          <a:off x="0" y="0"/>
                          <a:ext cx="2616136" cy="11887"/>
                          <a:chOff x="0" y="0"/>
                          <a:chExt cx="2616136" cy="11887"/>
                        </a:xfrm>
                      </wpg:grpSpPr>
                      <wps:wsp>
                        <wps:cNvPr id="346" name="Shape 346"/>
                        <wps:cNvSpPr/>
                        <wps:spPr>
                          <a:xfrm>
                            <a:off x="0" y="0"/>
                            <a:ext cx="2616136" cy="0"/>
                          </a:xfrm>
                          <a:custGeom>
                            <a:avLst/>
                            <a:gdLst/>
                            <a:ahLst/>
                            <a:cxnLst/>
                            <a:rect l="0" t="0" r="0" b="0"/>
                            <a:pathLst>
                              <a:path w="2616136">
                                <a:moveTo>
                                  <a:pt x="0" y="0"/>
                                </a:moveTo>
                                <a:lnTo>
                                  <a:pt x="2616136" y="0"/>
                                </a:lnTo>
                              </a:path>
                            </a:pathLst>
                          </a:custGeom>
                          <a:ln w="118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91" style="width:205.995pt;height:0.936pt;mso-position-horizontal-relative:char;mso-position-vertical-relative:line" coordsize="26161,118">
                <v:shape id="Shape 346" style="position:absolute;width:26161;height:0;left:0;top:0;" coordsize="2616136,0" path="m0,0l2616136,0">
                  <v:stroke weight="0.936pt" endcap="flat" joinstyle="miter" miterlimit="10" on="true" color="#000000"/>
                  <v:fill on="false" color="#000000" opacity="0"/>
                </v:shape>
              </v:group>
            </w:pict>
          </mc:Fallback>
        </mc:AlternateContent>
      </w:r>
    </w:p>
    <w:p w:rsidR="004F06A6" w:rsidRDefault="001924C1">
      <w:pPr>
        <w:spacing w:after="322"/>
        <w:ind w:left="20"/>
      </w:pPr>
      <w:r>
        <w:t xml:space="preserve">This part of the article investigates the arguments this from the lagers identified (and localized) in </w:t>
      </w:r>
      <w:r>
        <w:rPr>
          <w:color w:val="0000FF"/>
        </w:rPr>
        <w:t xml:space="preserve">part 1 </w:t>
      </w:r>
      <w:r>
        <w:t>of this study by interviewing people from this group. In this part of the study, people that are identified as having the resources to adopt ECO-innovation, but are however not adopting the innovation, are selected for interviewing participants about their</w:t>
      </w:r>
      <w:r>
        <w:t xml:space="preserve"> views on the future energy system and the role of ECO-innovation in that view. These interviews are analyses to find emerged patterns in the normative frameworks from this group.</w:t>
      </w:r>
    </w:p>
    <w:p w:rsidR="004F06A6" w:rsidRDefault="001924C1">
      <w:pPr>
        <w:pStyle w:val="Kop1"/>
        <w:spacing w:after="386" w:line="266" w:lineRule="auto"/>
        <w:ind w:left="28" w:right="0"/>
        <w:jc w:val="left"/>
      </w:pPr>
      <w:r>
        <w:t>Method</w:t>
      </w:r>
    </w:p>
    <w:p w:rsidR="004F06A6" w:rsidRDefault="001924C1">
      <w:pPr>
        <w:spacing w:after="40" w:line="398" w:lineRule="auto"/>
        <w:ind w:left="18" w:right="32" w:firstLine="595"/>
        <w:jc w:val="both"/>
      </w:pPr>
      <w:r>
        <w:rPr>
          <w:b/>
        </w:rPr>
        <w:t xml:space="preserve">Participants. </w:t>
      </w:r>
      <w:r>
        <w:rPr>
          <w:i/>
        </w:rPr>
        <w:t xml:space="preserve">Description of the participants based on the knowledge </w:t>
      </w:r>
      <w:r>
        <w:rPr>
          <w:i/>
        </w:rPr>
        <w:t>from part one of this article. Dit kan nog niet helemaal worden geschreven omdat deel 1 eerst geaadn moet worden.</w:t>
      </w:r>
    </w:p>
    <w:p w:rsidR="004F06A6" w:rsidRDefault="001924C1">
      <w:pPr>
        <w:tabs>
          <w:tab w:val="center" w:pos="1251"/>
          <w:tab w:val="center" w:pos="5096"/>
        </w:tabs>
        <w:spacing w:after="175" w:line="259" w:lineRule="auto"/>
        <w:ind w:left="0" w:firstLine="0"/>
      </w:pPr>
      <w:r>
        <w:rPr>
          <w:sz w:val="22"/>
        </w:rPr>
        <w:lastRenderedPageBreak/>
        <w:tab/>
      </w:r>
      <w:r>
        <w:rPr>
          <w:b/>
        </w:rPr>
        <w:t>Procedure.</w:t>
      </w:r>
      <w:r>
        <w:rPr>
          <w:b/>
        </w:rPr>
        <w:tab/>
      </w:r>
      <w:r>
        <w:t>From the social groups that are identified as not adopting</w:t>
      </w:r>
    </w:p>
    <w:p w:rsidR="004F06A6" w:rsidRDefault="001924C1">
      <w:pPr>
        <w:spacing w:after="230"/>
        <w:ind w:left="20"/>
      </w:pPr>
      <w:r>
        <w:t xml:space="preserve">ECO-innovation, qualitative research will be conducted in the form of semi-structured interviews. Selecting participants consist of two parts. The first part of the selecting process is selecting the locations for sampling. This part is done by purposeful </w:t>
      </w:r>
      <w:r>
        <w:t>sampling [add source], where we sought areas with specific characteristics that are defined in the first part of this study. By doing so, we hoped to find representative participants to investigate differed variables like income, social influence and owner</w:t>
      </w:r>
      <w:r>
        <w:t>ship of a house. The second part is selecting the participants within the selected area. In this part the participants were selected via a non-probability convenience sampling (Creswell &amp; Poth, 2018). This procedure is chosen because it is the (relative) m</w:t>
      </w:r>
      <w:r>
        <w:t>ost easy way to enter the field and we did not see any reason to further complicate the selection process. Researchers went to the selected area, “randomly”</w:t>
      </w:r>
      <w:r>
        <w:rPr>
          <w:color w:val="0000FF"/>
          <w:vertAlign w:val="superscript"/>
        </w:rPr>
        <w:footnoteReference w:id="3"/>
      </w:r>
      <w:r>
        <w:t>selected houses to ring doorbells and asked people for participation.</w:t>
      </w:r>
    </w:p>
    <w:p w:rsidR="004F06A6" w:rsidRDefault="001924C1">
      <w:pPr>
        <w:spacing w:after="249"/>
        <w:ind w:left="18" w:firstLine="603"/>
      </w:pPr>
      <w:r>
        <w:t>The interviews were semi-structured. The interviews had two main focus points: the participants view on their attributes towards ECO-innovation (Rogers, 1983), and how they perceive the future of the climate. By asking about how they view the relative adva</w:t>
      </w:r>
      <w:r>
        <w:t>ntage of the technique, the compatibility with the system that they have at the moment, how they view the complexity of the systems and it they know other people who have the technology (Rogers, 1983). To investigate the views in the future climate, the in</w:t>
      </w:r>
      <w:r>
        <w:t>terview focused on the way the participants view the stability of the eco-system and how the view change on a global scale (Levy &amp; Spicer, 2013).</w:t>
      </w:r>
    </w:p>
    <w:p w:rsidR="004F06A6" w:rsidRDefault="001924C1">
      <w:pPr>
        <w:spacing w:after="311" w:line="266" w:lineRule="auto"/>
        <w:ind w:left="28" w:hanging="10"/>
      </w:pPr>
      <w:r>
        <w:rPr>
          <w:b/>
        </w:rPr>
        <w:t>Results and Discussion</w:t>
      </w:r>
    </w:p>
    <w:p w:rsidR="004F06A6" w:rsidRDefault="001924C1">
      <w:pPr>
        <w:spacing w:after="103" w:line="265" w:lineRule="auto"/>
        <w:ind w:left="10" w:right="13" w:hanging="10"/>
        <w:jc w:val="center"/>
      </w:pPr>
      <w:r>
        <w:rPr>
          <w:b/>
        </w:rPr>
        <w:t>General discossion</w:t>
      </w:r>
    </w:p>
    <w:p w:rsidR="004F06A6" w:rsidRDefault="001924C1">
      <w:pPr>
        <w:pStyle w:val="Kop1"/>
        <w:spacing w:after="496"/>
      </w:pPr>
      <w:r>
        <w:lastRenderedPageBreak/>
        <w:t>References</w:t>
      </w:r>
    </w:p>
    <w:p w:rsidR="004F06A6" w:rsidRDefault="001924C1">
      <w:pPr>
        <w:ind w:left="710" w:hanging="692"/>
      </w:pPr>
      <w:r>
        <w:t>Basisregistratie adressen en gebouwen (bag). (2019, Janua</w:t>
      </w:r>
      <w:r>
        <w:t xml:space="preserve">ry). </w:t>
      </w:r>
      <w:r>
        <w:rPr>
          <w:i/>
        </w:rPr>
        <w:t>Basisregistratie Adressen en Gebouwen (BAG)</w:t>
      </w:r>
      <w:r>
        <w:t>. online database. Retrieved from</w:t>
      </w:r>
    </w:p>
    <w:p w:rsidR="004F06A6" w:rsidRDefault="001924C1">
      <w:pPr>
        <w:spacing w:after="479" w:line="294" w:lineRule="auto"/>
        <w:ind w:left="748" w:hanging="10"/>
      </w:pPr>
      <w:hyperlink r:id="rId9">
        <w:r>
          <w:rPr>
            <w:color w:val="422874"/>
          </w:rPr>
          <w:t>https://bag.basisregistraties.overheid.nl/</w:t>
        </w:r>
      </w:hyperlink>
    </w:p>
    <w:p w:rsidR="004F06A6" w:rsidRDefault="001924C1">
      <w:pPr>
        <w:spacing w:after="336" w:line="396" w:lineRule="auto"/>
        <w:ind w:left="740" w:hanging="707"/>
      </w:pPr>
      <w:r>
        <w:t>Belastingdienst. (2019, January). Belastingdiens, niet aow-geregtigd.</w:t>
      </w:r>
      <w:r>
        <w:t xml:space="preserve"> </w:t>
      </w:r>
      <w:r>
        <w:rPr>
          <w:i/>
        </w:rPr>
        <w:t>Belastingdienst Nederland</w:t>
      </w:r>
      <w:r>
        <w:t xml:space="preserve">. online database. Retrieved from </w:t>
      </w:r>
      <w:hyperlink r:id="rId10">
        <w:r>
          <w:rPr>
            <w:color w:val="422874"/>
          </w:rPr>
          <w:t xml:space="preserve">https://www.belastingdienst.nl/wps/wcm/connect/bldcontentnl/belastingdienst/ </w:t>
        </w:r>
      </w:hyperlink>
      <w:hyperlink r:id="rId11">
        <w:r>
          <w:rPr>
            <w:color w:val="422874"/>
          </w:rPr>
          <w:t xml:space="preserve">prive/inkomstenbelasting/heffingskortingen_boxen_tarieven/boxen_en_tarieven/ </w:t>
        </w:r>
      </w:hyperlink>
      <w:hyperlink r:id="rId12">
        <w:r>
          <w:rPr>
            <w:color w:val="422874"/>
          </w:rPr>
          <w:t>overzicht_tarieven_en_schijven/u-hebt-in-2019-nog-niet-aow-leeftijd</w:t>
        </w:r>
      </w:hyperlink>
    </w:p>
    <w:p w:rsidR="004F06A6" w:rsidRDefault="001924C1">
      <w:pPr>
        <w:ind w:left="738" w:hanging="720"/>
      </w:pPr>
      <w:r>
        <w:t>Bernards, R., Morren, Joh</w:t>
      </w:r>
      <w:r>
        <w:t>an, &amp; Slootweg, H. (2018). Development and implementation of statistical models for estimating diversified adoption of energy transition technologies.</w:t>
      </w:r>
    </w:p>
    <w:p w:rsidR="004F06A6" w:rsidRDefault="001924C1">
      <w:pPr>
        <w:spacing w:after="375" w:line="398" w:lineRule="auto"/>
        <w:ind w:left="726" w:right="32" w:hanging="10"/>
        <w:jc w:val="both"/>
      </w:pPr>
      <w:r>
        <w:rPr>
          <w:i/>
        </w:rPr>
        <w:t>Transactions on Sustainable Energy.</w:t>
      </w:r>
      <w:r>
        <w:t xml:space="preserve">, </w:t>
      </w:r>
      <w:r>
        <w:rPr>
          <w:i/>
        </w:rPr>
        <w:t>9</w:t>
      </w:r>
      <w:r>
        <w:t>(4). doi:</w:t>
      </w:r>
      <w:hyperlink r:id="rId13">
        <w:r>
          <w:rPr>
            <w:color w:val="422874"/>
          </w:rPr>
          <w:t>10.1109/TSTE.2018.2794579</w:t>
        </w:r>
      </w:hyperlink>
    </w:p>
    <w:p w:rsidR="004F06A6" w:rsidRDefault="001924C1">
      <w:pPr>
        <w:spacing w:after="357"/>
        <w:ind w:left="738" w:hanging="720"/>
      </w:pPr>
      <w:r>
        <w:t xml:space="preserve">Bogers, M., Afuah, A., &amp; Bastian, B. (2010). Users as innovators: A review, critique, and future research directions. </w:t>
      </w:r>
      <w:r>
        <w:rPr>
          <w:i/>
        </w:rPr>
        <w:t>Journal of Management</w:t>
      </w:r>
      <w:r>
        <w:t xml:space="preserve">, </w:t>
      </w:r>
      <w:r>
        <w:rPr>
          <w:i/>
        </w:rPr>
        <w:t>36</w:t>
      </w:r>
      <w:r>
        <w:t>(4), 857–875. doi:</w:t>
      </w:r>
      <w:hyperlink r:id="rId14">
        <w:r>
          <w:rPr>
            <w:color w:val="422874"/>
          </w:rPr>
          <w:t>10.1177/0149206309353944</w:t>
        </w:r>
      </w:hyperlink>
    </w:p>
    <w:p w:rsidR="004F06A6" w:rsidRDefault="001924C1">
      <w:pPr>
        <w:spacing w:after="362" w:line="398" w:lineRule="auto"/>
        <w:ind w:left="726" w:right="32" w:hanging="708"/>
        <w:jc w:val="both"/>
      </w:pPr>
      <w:r>
        <w:t xml:space="preserve">Cook, J. (2018). </w:t>
      </w:r>
      <w:r>
        <w:rPr>
          <w:i/>
        </w:rPr>
        <w:t xml:space="preserve">Imagined futures: Hopem risk and uncertainty </w:t>
      </w:r>
      <w:r>
        <w:t xml:space="preserve">(PhD thesis No. 7). </w:t>
      </w:r>
      <w:r>
        <w:rPr>
          <w:i/>
        </w:rPr>
        <w:t>Critical studies in risk and uncertainty</w:t>
      </w:r>
      <w:r>
        <w:t>. University of Melborne.</w:t>
      </w:r>
    </w:p>
    <w:p w:rsidR="004F06A6" w:rsidRDefault="001924C1">
      <w:pPr>
        <w:spacing w:after="362" w:line="398" w:lineRule="auto"/>
        <w:ind w:left="720" w:right="32" w:hanging="702"/>
        <w:jc w:val="both"/>
      </w:pPr>
      <w:r>
        <w:t xml:space="preserve">Creswell, J. W., &amp; Poth, C. N. (2018). </w:t>
      </w:r>
      <w:r>
        <w:rPr>
          <w:i/>
        </w:rPr>
        <w:t>Qualitative inquiry &amp; research design: Choos</w:t>
      </w:r>
      <w:r>
        <w:rPr>
          <w:i/>
        </w:rPr>
        <w:t>ing among five approaches</w:t>
      </w:r>
      <w:r>
        <w:t>. SAGE.</w:t>
      </w:r>
    </w:p>
    <w:p w:rsidR="004F06A6" w:rsidRDefault="001924C1">
      <w:pPr>
        <w:spacing w:after="365"/>
        <w:ind w:left="738" w:hanging="720"/>
      </w:pPr>
      <w:r>
        <w:t xml:space="preserve">EZK. (2019, January). Klimaatakkoord. </w:t>
      </w:r>
      <w:r>
        <w:rPr>
          <w:i/>
        </w:rPr>
        <w:t>Klimaatakkoord</w:t>
      </w:r>
      <w:r>
        <w:t xml:space="preserve">. Ministerie van Economische Zaken en Klimaat. Retrieved from </w:t>
      </w:r>
      <w:hyperlink r:id="rId15">
        <w:r>
          <w:rPr>
            <w:color w:val="422874"/>
          </w:rPr>
          <w:t>https://www.klimaatakkoord.nl/</w:t>
        </w:r>
      </w:hyperlink>
    </w:p>
    <w:p w:rsidR="004F06A6" w:rsidRDefault="001924C1">
      <w:pPr>
        <w:spacing w:after="402"/>
        <w:ind w:left="20"/>
      </w:pPr>
      <w:r>
        <w:t xml:space="preserve">Gladwell, M. (2013). </w:t>
      </w:r>
      <w:r>
        <w:rPr>
          <w:i/>
        </w:rPr>
        <w:t>Outlier</w:t>
      </w:r>
      <w:r>
        <w:rPr>
          <w:i/>
        </w:rPr>
        <w:t>s: The story of success</w:t>
      </w:r>
      <w:r>
        <w:t>. Back Bay Books, Little, Brown; Company.</w:t>
      </w:r>
    </w:p>
    <w:p w:rsidR="004F06A6" w:rsidRDefault="001924C1">
      <w:pPr>
        <w:spacing w:after="340"/>
        <w:ind w:left="738" w:hanging="720"/>
      </w:pPr>
      <w:r>
        <w:lastRenderedPageBreak/>
        <w:t xml:space="preserve">IPCC. (2014). AR5 synthesis report: Climate change 2014. </w:t>
      </w:r>
      <w:r>
        <w:rPr>
          <w:i/>
        </w:rPr>
        <w:t>IPCC</w:t>
      </w:r>
      <w:r>
        <w:t xml:space="preserve">. Retrieved from </w:t>
      </w:r>
      <w:hyperlink r:id="rId16">
        <w:r>
          <w:rPr>
            <w:color w:val="422874"/>
          </w:rPr>
          <w:t>https://www.ipcc.ch/report/ar5/syr/</w:t>
        </w:r>
      </w:hyperlink>
    </w:p>
    <w:p w:rsidR="004F06A6" w:rsidRDefault="001924C1">
      <w:pPr>
        <w:spacing w:after="193" w:line="259" w:lineRule="auto"/>
        <w:ind w:left="20"/>
      </w:pPr>
      <w:r>
        <w:t>James, P. (1997). The sustainability circle: A new tool for product development and design.</w:t>
      </w:r>
    </w:p>
    <w:p w:rsidR="004F06A6" w:rsidRDefault="001924C1">
      <w:pPr>
        <w:spacing w:after="387" w:line="398" w:lineRule="auto"/>
        <w:ind w:left="747" w:right="32" w:hanging="10"/>
        <w:jc w:val="both"/>
      </w:pPr>
      <w:r>
        <w:rPr>
          <w:i/>
        </w:rPr>
        <w:t>Journal of Sustainable Product Design</w:t>
      </w:r>
      <w:r>
        <w:t xml:space="preserve">, </w:t>
      </w:r>
      <w:r>
        <w:rPr>
          <w:i/>
        </w:rPr>
        <w:t>2</w:t>
      </w:r>
      <w:r>
        <w:t>(52).</w:t>
      </w:r>
    </w:p>
    <w:p w:rsidR="004F06A6" w:rsidRDefault="001924C1">
      <w:pPr>
        <w:spacing w:after="342"/>
        <w:ind w:left="738" w:hanging="720"/>
      </w:pPr>
      <w:r>
        <w:t>Jasanoff, S. (2004). States of knowledge: The co-production of science and social order. doi:</w:t>
      </w:r>
      <w:hyperlink r:id="rId17">
        <w:r>
          <w:rPr>
            <w:color w:val="422874"/>
          </w:rPr>
          <w:t>10.4324/9780203413845</w:t>
        </w:r>
      </w:hyperlink>
    </w:p>
    <w:p w:rsidR="004F06A6" w:rsidRDefault="001924C1">
      <w:pPr>
        <w:ind w:left="738" w:hanging="720"/>
      </w:pPr>
      <w:r>
        <w:t xml:space="preserve">Jasanoff, S., &amp; Kim, S.-H. (2009). Containing the atom: Sociotechnical imaginaries and nuclear power in the united states and south korea. </w:t>
      </w:r>
      <w:r>
        <w:rPr>
          <w:i/>
        </w:rPr>
        <w:t>Minerva</w:t>
      </w:r>
      <w:r>
        <w:t>, (47), 119–146. doi:</w:t>
      </w:r>
      <w:hyperlink r:id="rId18">
        <w:r>
          <w:rPr>
            <w:color w:val="422874"/>
          </w:rPr>
          <w:t>DOI</w:t>
        </w:r>
      </w:hyperlink>
    </w:p>
    <w:p w:rsidR="004F06A6" w:rsidRDefault="001924C1">
      <w:pPr>
        <w:spacing w:after="479" w:line="294" w:lineRule="auto"/>
        <w:ind w:left="748" w:hanging="10"/>
      </w:pPr>
      <w:hyperlink r:id="rId19">
        <w:r>
          <w:rPr>
            <w:color w:val="422874"/>
          </w:rPr>
          <w:t>10.1007/s11024-009-9124-4</w:t>
        </w:r>
      </w:hyperlink>
    </w:p>
    <w:p w:rsidR="004F06A6" w:rsidRDefault="001924C1">
      <w:pPr>
        <w:spacing w:after="338"/>
        <w:ind w:left="748" w:right="185" w:hanging="730"/>
        <w:jc w:val="both"/>
      </w:pPr>
      <w:r>
        <w:t xml:space="preserve">Jasanoff, S., &amp; Kim, S.-H. (2015). Dreamscapes of modernity : Sociotechnical imaginaries and the fabrication of power. </w:t>
      </w:r>
      <w:r>
        <w:rPr>
          <w:i/>
        </w:rPr>
        <w:t>Chicago: University of Chicago Press</w:t>
      </w:r>
      <w:r>
        <w:t>. doi:</w:t>
      </w:r>
      <w:hyperlink r:id="rId20">
        <w:r>
          <w:rPr>
            <w:color w:val="422874"/>
          </w:rPr>
          <w:t>10.7208/chicago/9780226276663.001.0001</w:t>
        </w:r>
      </w:hyperlink>
    </w:p>
    <w:p w:rsidR="004F06A6" w:rsidRDefault="001924C1">
      <w:pPr>
        <w:ind w:left="738" w:hanging="720"/>
      </w:pPr>
      <w:r>
        <w:t>Jhagroe, S., &amp; Loorbach, D. (2015). See no evil, hear no evil: The democratic potential of transition</w:t>
      </w:r>
      <w:r>
        <w:t xml:space="preserve"> management. </w:t>
      </w:r>
      <w:r>
        <w:rPr>
          <w:i/>
        </w:rPr>
        <w:t>Environmental Innovation and Societal Transitions</w:t>
      </w:r>
      <w:r>
        <w:t xml:space="preserve">, </w:t>
      </w:r>
      <w:r>
        <w:rPr>
          <w:i/>
        </w:rPr>
        <w:t>15</w:t>
      </w:r>
      <w:r>
        <w:t>,</w:t>
      </w:r>
    </w:p>
    <w:p w:rsidR="004F06A6" w:rsidRDefault="001924C1">
      <w:pPr>
        <w:spacing w:after="479" w:line="294" w:lineRule="auto"/>
        <w:ind w:left="748" w:hanging="10"/>
      </w:pPr>
      <w:r>
        <w:t>65–83. doi:</w:t>
      </w:r>
      <w:hyperlink r:id="rId21">
        <w:r>
          <w:rPr>
            <w:color w:val="422874"/>
          </w:rPr>
          <w:t>10.1016/j.eist.2014.07.001</w:t>
        </w:r>
      </w:hyperlink>
    </w:p>
    <w:p w:rsidR="004F06A6" w:rsidRDefault="001924C1">
      <w:pPr>
        <w:spacing w:after="363" w:line="418" w:lineRule="auto"/>
        <w:ind w:left="10" w:hanging="10"/>
        <w:jc w:val="center"/>
      </w:pPr>
      <w:r>
        <w:t>Levy, D. L., &amp; Spicer, A. (2013). Contested imaginaries and the cultural political econo</w:t>
      </w:r>
      <w:r>
        <w:t xml:space="preserve">my of climate change. </w:t>
      </w:r>
      <w:r>
        <w:rPr>
          <w:i/>
        </w:rPr>
        <w:t>Organization</w:t>
      </w:r>
      <w:r>
        <w:t xml:space="preserve">, </w:t>
      </w:r>
      <w:r>
        <w:rPr>
          <w:i/>
        </w:rPr>
        <w:t>20</w:t>
      </w:r>
      <w:r>
        <w:t>(5), 659–678. doi:</w:t>
      </w:r>
      <w:hyperlink r:id="rId22">
        <w:r>
          <w:rPr>
            <w:color w:val="422874"/>
          </w:rPr>
          <w:t>10.1177/1350508413489816</w:t>
        </w:r>
      </w:hyperlink>
    </w:p>
    <w:p w:rsidR="004F06A6" w:rsidRDefault="001924C1">
      <w:pPr>
        <w:spacing w:after="205" w:line="259" w:lineRule="auto"/>
        <w:ind w:left="20"/>
      </w:pPr>
      <w:r>
        <w:t xml:space="preserve">Lovelock, J., &amp; Rapley, C. (2007). Ocean pipes could help the earth to cure itself. </w:t>
      </w:r>
      <w:r>
        <w:rPr>
          <w:i/>
        </w:rPr>
        <w:t>Nature</w:t>
      </w:r>
    </w:p>
    <w:p w:rsidR="004F06A6" w:rsidRDefault="001924C1">
      <w:pPr>
        <w:spacing w:after="521" w:line="294" w:lineRule="auto"/>
        <w:ind w:left="748" w:hanging="10"/>
      </w:pPr>
      <w:r>
        <w:rPr>
          <w:i/>
        </w:rPr>
        <w:t>Publishing Group</w:t>
      </w:r>
      <w:r>
        <w:t xml:space="preserve">, </w:t>
      </w:r>
      <w:r>
        <w:rPr>
          <w:i/>
        </w:rPr>
        <w:t>26</w:t>
      </w:r>
      <w:r>
        <w:t>(09)</w:t>
      </w:r>
      <w:r>
        <w:t>. doi:</w:t>
      </w:r>
      <w:hyperlink r:id="rId23">
        <w:r>
          <w:rPr>
            <w:color w:val="422874"/>
          </w:rPr>
          <w:t>10.1093/sf/74.2.379</w:t>
        </w:r>
      </w:hyperlink>
    </w:p>
    <w:p w:rsidR="004F06A6" w:rsidRDefault="001924C1">
      <w:pPr>
        <w:spacing w:after="432" w:line="259" w:lineRule="auto"/>
        <w:ind w:left="20"/>
      </w:pPr>
      <w:r>
        <w:t xml:space="preserve">Merton, R. K. (1968). The matthew effect in science. </w:t>
      </w:r>
      <w:r>
        <w:rPr>
          <w:i/>
        </w:rPr>
        <w:t>Science</w:t>
      </w:r>
      <w:r>
        <w:t xml:space="preserve">, </w:t>
      </w:r>
      <w:r>
        <w:rPr>
          <w:i/>
        </w:rPr>
        <w:t>79</w:t>
      </w:r>
      <w:r>
        <w:t>(159), 53–63. doi:</w:t>
      </w:r>
      <w:hyperlink r:id="rId24">
        <w:r>
          <w:rPr>
            <w:color w:val="422874"/>
          </w:rPr>
          <w:t>doi:10.1126/science.159.38</w:t>
        </w:r>
        <w:r>
          <w:rPr>
            <w:color w:val="422874"/>
          </w:rPr>
          <w:t>10.56</w:t>
        </w:r>
      </w:hyperlink>
    </w:p>
    <w:p w:rsidR="004F06A6" w:rsidRDefault="001924C1">
      <w:pPr>
        <w:spacing w:after="175" w:line="259" w:lineRule="auto"/>
        <w:ind w:left="20"/>
      </w:pPr>
      <w:r>
        <w:lastRenderedPageBreak/>
        <w:t xml:space="preserve">Merton, R. K. (1995). The thomas theorem and the matthew effect. </w:t>
      </w:r>
      <w:r>
        <w:rPr>
          <w:i/>
        </w:rPr>
        <w:t>Social Forces</w:t>
      </w:r>
      <w:r>
        <w:t xml:space="preserve">, </w:t>
      </w:r>
      <w:r>
        <w:rPr>
          <w:i/>
        </w:rPr>
        <w:t>74</w:t>
      </w:r>
      <w:r>
        <w:t>(2),</w:t>
      </w:r>
    </w:p>
    <w:p w:rsidR="004F06A6" w:rsidRDefault="001924C1">
      <w:pPr>
        <w:spacing w:after="367" w:line="294" w:lineRule="auto"/>
        <w:ind w:left="748" w:hanging="10"/>
      </w:pPr>
      <w:r>
        <w:t>379–422. doi:</w:t>
      </w:r>
      <w:hyperlink r:id="rId25">
        <w:r>
          <w:rPr>
            <w:color w:val="422874"/>
          </w:rPr>
          <w:t>10.1093/sf/74.2.379</w:t>
        </w:r>
      </w:hyperlink>
    </w:p>
    <w:p w:rsidR="004F06A6" w:rsidRDefault="001924C1">
      <w:pPr>
        <w:spacing w:after="193" w:line="259" w:lineRule="auto"/>
        <w:ind w:left="20"/>
      </w:pPr>
      <w:r>
        <w:t>Nolan, J. M., Schultz, P. W., Cialdini, R. B., Goldstein, N. J., &amp; Griskevicius, V. (2008).</w:t>
      </w:r>
    </w:p>
    <w:p w:rsidR="004F06A6" w:rsidRDefault="001924C1">
      <w:pPr>
        <w:spacing w:after="205" w:line="259" w:lineRule="auto"/>
        <w:ind w:left="755"/>
      </w:pPr>
      <w:r>
        <w:t xml:space="preserve">Normative social influence is underdetected. </w:t>
      </w:r>
      <w:r>
        <w:rPr>
          <w:i/>
        </w:rPr>
        <w:t>Personality and Social Psychology</w:t>
      </w:r>
    </w:p>
    <w:p w:rsidR="004F06A6" w:rsidRDefault="001924C1">
      <w:pPr>
        <w:spacing w:after="409" w:line="294" w:lineRule="auto"/>
        <w:ind w:left="748" w:hanging="10"/>
      </w:pPr>
      <w:r>
        <w:rPr>
          <w:i/>
        </w:rPr>
        <w:t>Bulletin</w:t>
      </w:r>
      <w:r>
        <w:t xml:space="preserve">, </w:t>
      </w:r>
      <w:r>
        <w:rPr>
          <w:i/>
        </w:rPr>
        <w:t>34</w:t>
      </w:r>
      <w:r>
        <w:t>(7), 913–923. doi:</w:t>
      </w:r>
      <w:hyperlink r:id="rId26">
        <w:r>
          <w:rPr>
            <w:color w:val="422874"/>
          </w:rPr>
          <w:t>10.1177/0146167208316691</w:t>
        </w:r>
      </w:hyperlink>
    </w:p>
    <w:p w:rsidR="004F06A6" w:rsidRDefault="001924C1">
      <w:pPr>
        <w:spacing w:after="444" w:line="259" w:lineRule="auto"/>
        <w:ind w:left="28" w:right="32" w:hanging="10"/>
        <w:jc w:val="both"/>
      </w:pPr>
      <w:r>
        <w:t xml:space="preserve">Rogers, E. M. (1983). </w:t>
      </w:r>
      <w:r>
        <w:rPr>
          <w:i/>
        </w:rPr>
        <w:t>Diffusion of innovations, 3th edition</w:t>
      </w:r>
      <w:r>
        <w:t>. Free Press.</w:t>
      </w:r>
    </w:p>
    <w:p w:rsidR="004F06A6" w:rsidRDefault="001924C1">
      <w:pPr>
        <w:spacing w:after="228"/>
        <w:ind w:left="738" w:hanging="720"/>
      </w:pPr>
      <w:r>
        <w:t xml:space="preserve">Rotterdam in cijfers. (n.d.). </w:t>
      </w:r>
      <w:r>
        <w:rPr>
          <w:i/>
        </w:rPr>
        <w:t>Rotterdam in Cijfers</w:t>
      </w:r>
      <w:r>
        <w:t xml:space="preserve">. Retrieved from </w:t>
      </w:r>
      <w:hyperlink r:id="rId27">
        <w:r>
          <w:rPr>
            <w:color w:val="422874"/>
          </w:rPr>
          <w:t>https://rotterdam.incijfers.nl/</w:t>
        </w:r>
      </w:hyperlink>
    </w:p>
    <w:p w:rsidR="004F06A6" w:rsidRDefault="001924C1">
      <w:pPr>
        <w:spacing w:after="28"/>
        <w:ind w:left="738" w:hanging="720"/>
      </w:pPr>
      <w:r>
        <w:t xml:space="preserve">Salazar, H. A., Oerlemans, L., &amp; Stroe-Biezen, S. V. (2012). Social influence on sustainable consumption: Evidence from a behavioural experiment. </w:t>
      </w:r>
      <w:r>
        <w:rPr>
          <w:i/>
        </w:rPr>
        <w:t>International Journal of</w:t>
      </w:r>
    </w:p>
    <w:p w:rsidR="004F06A6" w:rsidRDefault="001924C1">
      <w:pPr>
        <w:spacing w:after="379" w:line="294" w:lineRule="auto"/>
        <w:ind w:left="748" w:hanging="10"/>
      </w:pPr>
      <w:r>
        <w:rPr>
          <w:i/>
        </w:rPr>
        <w:t>Consumer Studies</w:t>
      </w:r>
      <w:r>
        <w:t xml:space="preserve">, </w:t>
      </w:r>
      <w:r>
        <w:rPr>
          <w:i/>
        </w:rPr>
        <w:t>37</w:t>
      </w:r>
      <w:r>
        <w:t>(2), 172–180. d</w:t>
      </w:r>
      <w:r>
        <w:t>oi:</w:t>
      </w:r>
      <w:hyperlink r:id="rId28">
        <w:r>
          <w:rPr>
            <w:color w:val="422874"/>
          </w:rPr>
          <w:t>10.1111/j.1470-6431.2012.01110.x</w:t>
        </w:r>
      </w:hyperlink>
    </w:p>
    <w:p w:rsidR="004F06A6" w:rsidRDefault="001924C1">
      <w:pPr>
        <w:spacing w:after="261"/>
        <w:ind w:left="738" w:hanging="720"/>
      </w:pPr>
      <w:r>
        <w:t xml:space="preserve">Stedin peer database. (2019, January). company database registration PV. Retrieved from </w:t>
      </w:r>
      <w:hyperlink r:id="rId29">
        <w:r>
          <w:rPr>
            <w:color w:val="422874"/>
          </w:rPr>
          <w:t>http://www.stedin.net/</w:t>
        </w:r>
      </w:hyperlink>
    </w:p>
    <w:p w:rsidR="004F06A6" w:rsidRDefault="001924C1">
      <w:pPr>
        <w:spacing w:after="414" w:line="259" w:lineRule="auto"/>
        <w:ind w:left="20"/>
      </w:pPr>
      <w:r>
        <w:t xml:space="preserve">Taylor, C. (2004). Modern social imaginaries. </w:t>
      </w:r>
      <w:r>
        <w:rPr>
          <w:i/>
        </w:rPr>
        <w:t>Modern Social Imaginaries</w:t>
      </w:r>
      <w:r>
        <w:t>, 23–30.</w:t>
      </w:r>
    </w:p>
    <w:p w:rsidR="004F06A6" w:rsidRDefault="001924C1">
      <w:pPr>
        <w:spacing w:after="402" w:line="259" w:lineRule="auto"/>
        <w:ind w:left="28" w:right="32" w:hanging="10"/>
        <w:jc w:val="both"/>
      </w:pPr>
      <w:r>
        <w:rPr>
          <w:i/>
        </w:rPr>
        <w:t>The day after tomorrow</w:t>
      </w:r>
      <w:r>
        <w:t>. (2004).</w:t>
      </w:r>
    </w:p>
    <w:p w:rsidR="004F06A6" w:rsidRDefault="001924C1">
      <w:pPr>
        <w:spacing w:after="227"/>
        <w:ind w:left="748" w:right="-13" w:hanging="730"/>
        <w:jc w:val="both"/>
      </w:pPr>
      <w:r>
        <w:t xml:space="preserve">Vasseur, V., &amp; Kemp, R. (2015). The adoption of pv in the netherlands: A statistical analysis of adoption factors. </w:t>
      </w:r>
      <w:r>
        <w:rPr>
          <w:i/>
        </w:rPr>
        <w:t>Renewable and Sustainable En</w:t>
      </w:r>
      <w:r>
        <w:rPr>
          <w:i/>
        </w:rPr>
        <w:t>ergy Reviews</w:t>
      </w:r>
      <w:r>
        <w:t xml:space="preserve">, </w:t>
      </w:r>
      <w:r>
        <w:rPr>
          <w:i/>
        </w:rPr>
        <w:t>41</w:t>
      </w:r>
      <w:r>
        <w:t>, 483–494. doi:</w:t>
      </w:r>
      <w:hyperlink r:id="rId30">
        <w:r>
          <w:rPr>
            <w:color w:val="422874"/>
          </w:rPr>
          <w:t>10.1016/j.rser.2014.08.020</w:t>
        </w:r>
      </w:hyperlink>
    </w:p>
    <w:p w:rsidR="004F06A6" w:rsidRDefault="001924C1">
      <w:pPr>
        <w:ind w:left="738" w:hanging="720"/>
      </w:pPr>
      <w:r>
        <w:t xml:space="preserve">Wyatt, S. .M.E. (2003). Non-users also matter: The construction of users and non-users of the internet. In </w:t>
      </w:r>
      <w:r>
        <w:rPr>
          <w:i/>
        </w:rPr>
        <w:t>Now users matter: The co-cons</w:t>
      </w:r>
      <w:r>
        <w:rPr>
          <w:i/>
        </w:rPr>
        <w:t xml:space="preserve">truction of users and technology </w:t>
      </w:r>
      <w:r>
        <w:t>(pp.</w:t>
      </w:r>
    </w:p>
    <w:p w:rsidR="004F06A6" w:rsidRDefault="001924C1">
      <w:pPr>
        <w:spacing w:line="259" w:lineRule="auto"/>
        <w:ind w:left="755"/>
      </w:pPr>
      <w:r>
        <w:t>67–79). Cambridge, MA: MIT Press.</w:t>
      </w:r>
    </w:p>
    <w:p w:rsidR="004F06A6" w:rsidRDefault="001924C1">
      <w:pPr>
        <w:pStyle w:val="Kop1"/>
      </w:pPr>
      <w:r>
        <w:t>Figure captions</w:t>
      </w:r>
    </w:p>
    <w:p w:rsidR="004F06A6" w:rsidRDefault="001924C1">
      <w:pPr>
        <w:tabs>
          <w:tab w:val="center" w:pos="4381"/>
        </w:tabs>
        <w:spacing w:after="203" w:line="259" w:lineRule="auto"/>
        <w:ind w:left="0" w:firstLine="0"/>
      </w:pPr>
      <w:r>
        <w:rPr>
          <w:i/>
          <w:color w:val="0000FF"/>
        </w:rPr>
        <w:t>Figure 1.</w:t>
      </w:r>
      <w:r>
        <w:rPr>
          <w:i/>
          <w:color w:val="0000FF"/>
        </w:rPr>
        <w:tab/>
      </w:r>
      <w:r>
        <w:rPr>
          <w:color w:val="0000FF"/>
        </w:rPr>
        <w:t>Conceptual model adaptation of sustainable technology</w:t>
      </w:r>
    </w:p>
    <w:p w:rsidR="004F06A6" w:rsidRDefault="001924C1">
      <w:pPr>
        <w:tabs>
          <w:tab w:val="center" w:pos="4256"/>
        </w:tabs>
        <w:spacing w:after="203" w:line="259" w:lineRule="auto"/>
        <w:ind w:left="0" w:firstLine="0"/>
      </w:pPr>
      <w:r>
        <w:rPr>
          <w:i/>
          <w:color w:val="0000FF"/>
        </w:rPr>
        <w:t>Figure 2.</w:t>
      </w:r>
      <w:r>
        <w:rPr>
          <w:i/>
          <w:color w:val="0000FF"/>
        </w:rPr>
        <w:tab/>
      </w:r>
      <w:r>
        <w:rPr>
          <w:color w:val="0000FF"/>
        </w:rPr>
        <w:t>Climate Change Imaginaries (Levy and Spices, 2013)</w:t>
      </w:r>
      <w:r>
        <w:br w:type="page"/>
      </w:r>
    </w:p>
    <w:p w:rsidR="004F06A6" w:rsidRDefault="001924C1">
      <w:pPr>
        <w:pStyle w:val="Kop1"/>
      </w:pPr>
      <w:r>
        <w:lastRenderedPageBreak/>
        <w:t>Table captions</w:t>
      </w:r>
    </w:p>
    <w:p w:rsidR="004F06A6" w:rsidRDefault="001924C1">
      <w:pPr>
        <w:tabs>
          <w:tab w:val="center" w:pos="4766"/>
        </w:tabs>
        <w:spacing w:after="203" w:line="259" w:lineRule="auto"/>
        <w:ind w:left="0" w:firstLine="0"/>
      </w:pPr>
      <w:r>
        <w:rPr>
          <w:i/>
          <w:color w:val="0000FF"/>
        </w:rPr>
        <w:t>Table 1.</w:t>
      </w:r>
      <w:r>
        <w:rPr>
          <w:i/>
          <w:color w:val="0000FF"/>
        </w:rPr>
        <w:tab/>
      </w:r>
      <w:r>
        <w:rPr>
          <w:color w:val="0000FF"/>
        </w:rPr>
        <w:t>Roger’s five perceived components of innovations (Rogers, 1983).</w:t>
      </w:r>
    </w:p>
    <w:p w:rsidR="004F06A6" w:rsidRDefault="001924C1">
      <w:pPr>
        <w:tabs>
          <w:tab w:val="center" w:pos="2992"/>
        </w:tabs>
        <w:spacing w:after="203" w:line="259" w:lineRule="auto"/>
        <w:ind w:left="0" w:firstLine="0"/>
      </w:pPr>
      <w:r>
        <w:rPr>
          <w:i/>
          <w:color w:val="0000FF"/>
        </w:rPr>
        <w:t>Table 2.</w:t>
      </w:r>
      <w:r>
        <w:rPr>
          <w:i/>
          <w:color w:val="0000FF"/>
        </w:rPr>
        <w:tab/>
      </w:r>
      <w:r>
        <w:rPr>
          <w:color w:val="0000FF"/>
        </w:rPr>
        <w:t>parameters regression analysis</w:t>
      </w:r>
    </w:p>
    <w:sectPr w:rsidR="004F06A6">
      <w:headerReference w:type="even" r:id="rId31"/>
      <w:headerReference w:type="default" r:id="rId32"/>
      <w:headerReference w:type="first" r:id="rId33"/>
      <w:pgSz w:w="12240" w:h="15840"/>
      <w:pgMar w:top="754" w:right="1394" w:bottom="1330" w:left="1407" w:header="754"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4C1" w:rsidRDefault="001924C1">
      <w:pPr>
        <w:spacing w:after="0" w:line="240" w:lineRule="auto"/>
      </w:pPr>
      <w:r>
        <w:separator/>
      </w:r>
    </w:p>
  </w:endnote>
  <w:endnote w:type="continuationSeparator" w:id="0">
    <w:p w:rsidR="001924C1" w:rsidRDefault="00192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4C1" w:rsidRDefault="001924C1">
      <w:pPr>
        <w:spacing w:after="0" w:line="439" w:lineRule="auto"/>
        <w:ind w:left="33" w:firstLine="0"/>
      </w:pPr>
      <w:r>
        <w:separator/>
      </w:r>
    </w:p>
  </w:footnote>
  <w:footnote w:type="continuationSeparator" w:id="0">
    <w:p w:rsidR="001924C1" w:rsidRDefault="001924C1">
      <w:pPr>
        <w:spacing w:after="0" w:line="439" w:lineRule="auto"/>
        <w:ind w:left="33" w:firstLine="0"/>
      </w:pPr>
      <w:r>
        <w:continuationSeparator/>
      </w:r>
    </w:p>
  </w:footnote>
  <w:footnote w:id="1">
    <w:p w:rsidR="004F06A6" w:rsidRDefault="001924C1">
      <w:pPr>
        <w:pStyle w:val="footnotedescription"/>
        <w:spacing w:line="439" w:lineRule="auto"/>
      </w:pPr>
      <w:r>
        <w:rPr>
          <w:rStyle w:val="footnotemark"/>
        </w:rPr>
        <w:footnoteRef/>
      </w:r>
      <w:r>
        <w:t xml:space="preserve"> </w:t>
      </w:r>
      <w:r>
        <w:t>I’m not sure of the whole scope of the project is about Rottedam, or anly for the parts where we do not have all the data. Specific data about residential mobility is only availeble for Rotterdam</w:t>
      </w:r>
    </w:p>
  </w:footnote>
  <w:footnote w:id="2">
    <w:p w:rsidR="004F06A6" w:rsidRDefault="001924C1">
      <w:pPr>
        <w:pStyle w:val="footnotedescription"/>
        <w:ind w:left="26" w:firstLine="7"/>
      </w:pPr>
      <w:r>
        <w:rPr>
          <w:rStyle w:val="footnotemark"/>
        </w:rPr>
        <w:footnoteRef/>
      </w:r>
      <w:r>
        <w:t xml:space="preserve"> Not sure is I can already investigate the imaginative part</w:t>
      </w:r>
      <w:r>
        <w:t xml:space="preserve"> of Co-production in this part of the study. It would be nice if I could find data on a normative/imaginary part of this study, so I can identify social groups in a better way, but I cannot think of any data . Only maybe the data about results from voting.</w:t>
      </w:r>
      <w:r>
        <w:t xml:space="preserve"> By doing k-fold cross validation it’s possible to learn from the data itself if there are political parties that correlate with a high PV-adoption. Than it would be able to predict, controlled for the other variables, the adoption rate per party.</w:t>
      </w:r>
    </w:p>
  </w:footnote>
  <w:footnote w:id="3">
    <w:p w:rsidR="004F06A6" w:rsidRDefault="001924C1">
      <w:pPr>
        <w:pStyle w:val="footnotedescription"/>
        <w:spacing w:line="259" w:lineRule="auto"/>
      </w:pPr>
      <w:r>
        <w:rPr>
          <w:rStyle w:val="footnotemark"/>
        </w:rPr>
        <w:footnoteRef/>
      </w:r>
      <w:r>
        <w:t xml:space="preserve"> Not su</w:t>
      </w:r>
      <w:r>
        <w:t>re how to write this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6A6" w:rsidRDefault="001924C1">
    <w:pPr>
      <w:tabs>
        <w:tab w:val="right" w:pos="9439"/>
      </w:tabs>
      <w:spacing w:after="0" w:line="259" w:lineRule="auto"/>
      <w:ind w:left="0" w:firstLine="0"/>
    </w:pPr>
    <w:r>
      <w:t>FUTURE IMAGINARIES OF NON-USERS OF SOLAR ENERGY</w:t>
    </w:r>
    <w: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6A6" w:rsidRDefault="001924C1">
    <w:pPr>
      <w:tabs>
        <w:tab w:val="right" w:pos="9439"/>
      </w:tabs>
      <w:spacing w:after="0" w:line="259" w:lineRule="auto"/>
      <w:ind w:left="0" w:firstLine="0"/>
    </w:pPr>
    <w:r>
      <w:t>FUTUR</w:t>
    </w:r>
    <w:r>
      <w:t>E IMAGINARIES OF NON-USERS OF SOLAR ENERGY</w:t>
    </w:r>
    <w:r>
      <w:tab/>
    </w:r>
    <w:r>
      <w:fldChar w:fldCharType="begin"/>
    </w:r>
    <w:r>
      <w:instrText xml:space="preserve"> PAGE   \* MERGEFORMAT </w:instrText>
    </w:r>
    <w:r>
      <w:fldChar w:fldCharType="separate"/>
    </w:r>
    <w:r w:rsidR="009E68BF">
      <w:rPr>
        <w:noProof/>
      </w:rPr>
      <w:t>17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6A6" w:rsidRDefault="001924C1">
    <w:pPr>
      <w:spacing w:after="0" w:line="259" w:lineRule="auto"/>
      <w:ind w:left="0" w:right="45" w:firstLine="0"/>
      <w:jc w:val="right"/>
    </w:pPr>
    <w:r>
      <w:fldChar w:fldCharType="begin"/>
    </w:r>
    <w:r>
      <w:instrText xml:space="preserve"> PAGE   \* MERGEFORMAT </w:instrText>
    </w:r>
    <w:r>
      <w:fldChar w:fldCharType="separate"/>
    </w:r>
    <w:r w:rsidR="009E68B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578F6"/>
    <w:multiLevelType w:val="hybridMultilevel"/>
    <w:tmpl w:val="72DA9FEA"/>
    <w:lvl w:ilvl="0" w:tplc="40A213B8">
      <w:start w:val="1"/>
      <w:numFmt w:val="decimal"/>
      <w:lvlText w:val="%1"/>
      <w:lvlJc w:val="left"/>
      <w:pPr>
        <w:ind w:left="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superscript"/>
      </w:rPr>
    </w:lvl>
    <w:lvl w:ilvl="1" w:tplc="DB421AF6">
      <w:start w:val="1"/>
      <w:numFmt w:val="lowerLetter"/>
      <w:lvlText w:val="%2"/>
      <w:lvlJc w:val="left"/>
      <w:pPr>
        <w:ind w:left="39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superscript"/>
      </w:rPr>
    </w:lvl>
    <w:lvl w:ilvl="2" w:tplc="AC6E99B0">
      <w:start w:val="1"/>
      <w:numFmt w:val="lowerRoman"/>
      <w:lvlText w:val="%3"/>
      <w:lvlJc w:val="left"/>
      <w:pPr>
        <w:ind w:left="46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superscript"/>
      </w:rPr>
    </w:lvl>
    <w:lvl w:ilvl="3" w:tplc="5D24A17E">
      <w:start w:val="1"/>
      <w:numFmt w:val="decimal"/>
      <w:lvlText w:val="%4"/>
      <w:lvlJc w:val="left"/>
      <w:pPr>
        <w:ind w:left="54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superscript"/>
      </w:rPr>
    </w:lvl>
    <w:lvl w:ilvl="4" w:tplc="EF0E8998">
      <w:start w:val="1"/>
      <w:numFmt w:val="lowerLetter"/>
      <w:lvlText w:val="%5"/>
      <w:lvlJc w:val="left"/>
      <w:pPr>
        <w:ind w:left="61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superscript"/>
      </w:rPr>
    </w:lvl>
    <w:lvl w:ilvl="5" w:tplc="F216D6B6">
      <w:start w:val="1"/>
      <w:numFmt w:val="lowerRoman"/>
      <w:lvlText w:val="%6"/>
      <w:lvlJc w:val="left"/>
      <w:pPr>
        <w:ind w:left="68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superscript"/>
      </w:rPr>
    </w:lvl>
    <w:lvl w:ilvl="6" w:tplc="ABAEB72A">
      <w:start w:val="1"/>
      <w:numFmt w:val="decimal"/>
      <w:lvlText w:val="%7"/>
      <w:lvlJc w:val="left"/>
      <w:pPr>
        <w:ind w:left="75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superscript"/>
      </w:rPr>
    </w:lvl>
    <w:lvl w:ilvl="7" w:tplc="7F7C499E">
      <w:start w:val="1"/>
      <w:numFmt w:val="lowerLetter"/>
      <w:lvlText w:val="%8"/>
      <w:lvlJc w:val="left"/>
      <w:pPr>
        <w:ind w:left="82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superscript"/>
      </w:rPr>
    </w:lvl>
    <w:lvl w:ilvl="8" w:tplc="BAF2834E">
      <w:start w:val="1"/>
      <w:numFmt w:val="lowerRoman"/>
      <w:lvlText w:val="%9"/>
      <w:lvlJc w:val="left"/>
      <w:pPr>
        <w:ind w:left="90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superscrip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A6"/>
    <w:rsid w:val="001924C1"/>
    <w:rsid w:val="004F06A6"/>
    <w:rsid w:val="009E6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87A1E2-E843-4D5F-BA61-CF3A9DBA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4" w:line="402" w:lineRule="auto"/>
      <w:ind w:left="35" w:hanging="2"/>
    </w:pPr>
    <w:rPr>
      <w:rFonts w:ascii="Calibri" w:eastAsia="Calibri" w:hAnsi="Calibri" w:cs="Calibri"/>
      <w:color w:val="000000"/>
      <w:sz w:val="24"/>
    </w:rPr>
  </w:style>
  <w:style w:type="paragraph" w:styleId="Kop1">
    <w:name w:val="heading 1"/>
    <w:next w:val="Standaard"/>
    <w:link w:val="Kop1Char"/>
    <w:uiPriority w:val="9"/>
    <w:unhideWhenUsed/>
    <w:qFormat/>
    <w:pPr>
      <w:keepNext/>
      <w:keepLines/>
      <w:spacing w:after="103" w:line="265" w:lineRule="auto"/>
      <w:ind w:left="10" w:right="13" w:hanging="10"/>
      <w:jc w:val="center"/>
      <w:outlineLvl w:val="0"/>
    </w:pPr>
    <w:rPr>
      <w:rFonts w:ascii="Calibri" w:eastAsia="Calibri" w:hAnsi="Calibri" w:cs="Calibri"/>
      <w:b/>
      <w:color w:val="00000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libri" w:eastAsia="Calibri" w:hAnsi="Calibri" w:cs="Calibri"/>
      <w:b/>
      <w:color w:val="000000"/>
      <w:sz w:val="24"/>
    </w:rPr>
  </w:style>
  <w:style w:type="paragraph" w:customStyle="1" w:styleId="footnotedescription">
    <w:name w:val="footnote description"/>
    <w:next w:val="Standaard"/>
    <w:link w:val="footnotedescriptionChar"/>
    <w:hidden/>
    <w:pPr>
      <w:spacing w:after="0" w:line="400" w:lineRule="auto"/>
      <w:ind w:left="33"/>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i.org/10.1109/TSTE.2018.2794579" TargetMode="External"/><Relationship Id="rId18" Type="http://schemas.openxmlformats.org/officeDocument/2006/relationships/hyperlink" Target="https://doi.org/%20DOI%2010.1007/s11024-009-9124-4" TargetMode="External"/><Relationship Id="rId26" Type="http://schemas.openxmlformats.org/officeDocument/2006/relationships/hyperlink" Target="https://doi.org/10.1177/0146167208316691" TargetMode="External"/><Relationship Id="rId3" Type="http://schemas.openxmlformats.org/officeDocument/2006/relationships/settings" Target="settings.xml"/><Relationship Id="rId21" Type="http://schemas.openxmlformats.org/officeDocument/2006/relationships/hyperlink" Target="https://doi.org/10.1016/j.eist.2014.07.001" TargetMode="External"/><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www.belastingdienst.nl/wps/wcm/connect/bldcontentnl/belastingdienst/prive/inkomstenbelasting/heffingskortingen_boxen_tarieven/boxen_en_tarieven/overzicht_tarieven_en_schijven/u-hebt-in-2019-nog-niet-aow-leeftijd" TargetMode="External"/><Relationship Id="rId17" Type="http://schemas.openxmlformats.org/officeDocument/2006/relationships/hyperlink" Target="https://doi.org/10.4324/9780203413845" TargetMode="External"/><Relationship Id="rId25" Type="http://schemas.openxmlformats.org/officeDocument/2006/relationships/hyperlink" Target="https://doi.org/10.1093/sf/74.2.379"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ipcc.ch/report/ar5/syr/" TargetMode="External"/><Relationship Id="rId20" Type="http://schemas.openxmlformats.org/officeDocument/2006/relationships/hyperlink" Target="https://doi.org/10.7208/chicago/9780226276663.001.0001" TargetMode="External"/><Relationship Id="rId29" Type="http://schemas.openxmlformats.org/officeDocument/2006/relationships/hyperlink" Target="http://www.stedin.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elastingdienst.nl/wps/wcm/connect/bldcontentnl/belastingdienst/prive/inkomstenbelasting/heffingskortingen_boxen_tarieven/boxen_en_tarieven/overzicht_tarieven_en_schijven/u-hebt-in-2019-nog-niet-aow-leeftijd" TargetMode="External"/><Relationship Id="rId24" Type="http://schemas.openxmlformats.org/officeDocument/2006/relationships/hyperlink" Target="https://doi.org/doi:10.1126/science.159.3810.56"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klimaatakkoord.nl/" TargetMode="External"/><Relationship Id="rId23" Type="http://schemas.openxmlformats.org/officeDocument/2006/relationships/hyperlink" Target="https://doi.org/10.1093/sf/74.2.379" TargetMode="External"/><Relationship Id="rId28" Type="http://schemas.openxmlformats.org/officeDocument/2006/relationships/hyperlink" Target="https://doi.org/10.1111/j.1470-6431.2012.01110.x" TargetMode="External"/><Relationship Id="rId10" Type="http://schemas.openxmlformats.org/officeDocument/2006/relationships/hyperlink" Target="https://www.belastingdienst.nl/wps/wcm/connect/bldcontentnl/belastingdienst/prive/inkomstenbelasting/heffingskortingen_boxen_tarieven/boxen_en_tarieven/overzicht_tarieven_en_schijven/u-hebt-in-2019-nog-niet-aow-leeftijd" TargetMode="External"/><Relationship Id="rId19" Type="http://schemas.openxmlformats.org/officeDocument/2006/relationships/hyperlink" Target="https://doi.org/%20DOI%2010.1007/s11024-009-9124-4"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ag.basisregistraties.overheid.nl/" TargetMode="External"/><Relationship Id="rId14" Type="http://schemas.openxmlformats.org/officeDocument/2006/relationships/hyperlink" Target="https://doi.org/10.1177/0149206309353944" TargetMode="External"/><Relationship Id="rId22" Type="http://schemas.openxmlformats.org/officeDocument/2006/relationships/hyperlink" Target="https://doi.org/10.1177/1350508413489816" TargetMode="External"/><Relationship Id="rId27" Type="http://schemas.openxmlformats.org/officeDocument/2006/relationships/hyperlink" Target="https://rotterdam.incijfers.nl/" TargetMode="External"/><Relationship Id="rId30" Type="http://schemas.openxmlformats.org/officeDocument/2006/relationships/hyperlink" Target="https://doi.org/10.1016/j.rser.2014.08.020" TargetMode="External"/><Relationship Id="rId35"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4126</Words>
  <Characters>22694</Characters>
  <Application>Microsoft Office Word</Application>
  <DocSecurity>0</DocSecurity>
  <Lines>189</Lines>
  <Paragraphs>53</Paragraphs>
  <ScaleCrop>false</ScaleCrop>
  <HeadingPairs>
    <vt:vector size="2" baseType="variant">
      <vt:variant>
        <vt:lpstr>Titel</vt:lpstr>
      </vt:variant>
      <vt:variant>
        <vt:i4>1</vt:i4>
      </vt:variant>
    </vt:vector>
  </HeadingPairs>
  <TitlesOfParts>
    <vt:vector size="1" baseType="lpstr">
      <vt:lpstr>Future imaginaries of non-users of ECO-innovations: identification and perceptions of residential households not adopting solar energy</vt:lpstr>
    </vt:vector>
  </TitlesOfParts>
  <Company>Eneco Energie</Company>
  <LinksUpToDate>false</LinksUpToDate>
  <CharactersWithSpaces>26767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imaginaries of non-users of ECO-innovations: identification and perceptions of residential households not adopting solar energy</dc:title>
  <dc:subject/>
  <dc:creator>Marco Bunt</dc:creator>
  <cp:keywords>future imaginaries, Sustainability, ECO-innovation, diffusion of innovation,non-adopters</cp:keywords>
  <cp:lastModifiedBy>Bunt, M (Marco)</cp:lastModifiedBy>
  <cp:revision>2</cp:revision>
  <dcterms:created xsi:type="dcterms:W3CDTF">2019-03-17T14:16:00Z</dcterms:created>
  <dcterms:modified xsi:type="dcterms:W3CDTF">2019-03-17T14:16:00Z</dcterms:modified>
</cp:coreProperties>
</file>