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  <w:t>Projeto de Pesquisa e Planejamento de Atividades</w:t>
      </w:r>
    </w:p>
    <w:p>
      <w:pPr>
        <w:pStyle w:val="Normal"/>
        <w:rPr>
          <w:rFonts w:ascii="Arial" w:hAnsi="Arial" w:eastAsia="Arial" w:cs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tbl>
      <w:tblPr>
        <w:tblStyle w:val="a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390"/>
        <w:gridCol w:w="2693"/>
        <w:gridCol w:w="1984"/>
      </w:tblGrid>
      <w:tr>
        <w:trPr/>
        <w:tc>
          <w:tcPr>
            <w:tcW w:w="7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Aluno</w:t>
            </w:r>
            <w:r>
              <w:rPr>
                <w:rFonts w:eastAsia="Arial" w:cs="Arial" w:ascii="Arial" w:hAnsi="Arial"/>
                <w:sz w:val="22"/>
                <w:szCs w:val="22"/>
              </w:rPr>
              <w:t>: Gustavo Menezes de Sirqueira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Data início curso</w:t>
            </w:r>
            <w:r>
              <w:rPr>
                <w:rFonts w:eastAsia="Arial" w:cs="Arial" w:ascii="Arial" w:hAnsi="Arial"/>
                <w:sz w:val="22"/>
                <w:szCs w:val="22"/>
              </w:rPr>
              <w:t>: __/__/____</w:t>
            </w:r>
          </w:p>
        </w:tc>
      </w:tr>
      <w:tr>
        <w:trPr/>
        <w:tc>
          <w:tcPr>
            <w:tcW w:w="7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Orientador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: Daniel Alvarez Firmino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Defesa em:</w:t>
            </w:r>
          </w:p>
          <w:p>
            <w:pPr>
              <w:pStyle w:val="Normal"/>
              <w:widowControl w:val="false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Dez/2024</w:t>
            </w:r>
          </w:p>
        </w:tc>
      </w:tr>
      <w:tr>
        <w:trPr/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Curso</w:t>
            </w:r>
            <w:r>
              <w:rPr>
                <w:rFonts w:eastAsia="Arial" w:cs="Arial" w:ascii="Arial" w:hAnsi="Arial"/>
                <w:sz w:val="22"/>
                <w:szCs w:val="22"/>
              </w:rPr>
              <w:t>: MBA Data Science e Analytics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Modalidade</w:t>
            </w:r>
            <w:r>
              <w:rPr>
                <w:rFonts w:eastAsia="Arial" w:cs="Arial" w:ascii="Arial" w:hAnsi="Arial"/>
                <w:sz w:val="22"/>
                <w:szCs w:val="22"/>
              </w:rPr>
              <w:t>: Distância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Turma: 231</w:t>
            </w:r>
          </w:p>
        </w:tc>
      </w:tr>
    </w:tbl>
    <w:p>
      <w:pPr>
        <w:pStyle w:val="Normal"/>
        <w:spacing w:before="0" w:after="8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before="0" w:after="40"/>
        <w:ind w:left="357" w:hanging="357"/>
        <w:rPr>
          <w:u w:val="single"/>
        </w:rPr>
      </w:pPr>
      <w:r>
        <w:rPr>
          <w:rFonts w:eastAsia="Arial" w:cs="Arial" w:ascii="Arial" w:hAnsi="Arial"/>
          <w:b/>
          <w:sz w:val="22"/>
          <w:szCs w:val="22"/>
        </w:rPr>
        <w:t xml:space="preserve">Título do projeto </w:t>
      </w:r>
      <w:r>
        <w:rPr>
          <w:rFonts w:eastAsia="Arial" w:cs="Arial" w:ascii="Arial" w:hAnsi="Arial"/>
          <w:i/>
          <w:sz w:val="22"/>
          <w:szCs w:val="22"/>
        </w:rPr>
        <w:t>(Inicial)</w:t>
      </w:r>
    </w:p>
    <w:p>
      <w:pPr>
        <w:pStyle w:val="Normal"/>
        <w:spacing w:before="0" w:after="40"/>
        <w:rPr>
          <w:rFonts w:ascii="Arial" w:hAnsi="Arial" w:eastAsia="Arial" w:cs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Normal"/>
        <w:spacing w:before="0" w:after="40"/>
        <w:rPr>
          <w:rFonts w:ascii="Arial" w:hAnsi="Arial" w:eastAsia="Arial" w:cs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Comparação de Modelos de previsão de séries temporais aplicados a criptomoedas</w:t>
      </w:r>
    </w:p>
    <w:p>
      <w:pPr>
        <w:pStyle w:val="Normal"/>
        <w:spacing w:before="0" w:after="40"/>
        <w:ind w:left="357" w:hanging="0"/>
        <w:rPr>
          <w:rFonts w:ascii="Arial" w:hAnsi="Arial" w:eastAsia="Arial" w:cs="Arial"/>
          <w:sz w:val="22"/>
          <w:szCs w:val="22"/>
          <w:u w:val="single"/>
        </w:rPr>
      </w:pPr>
      <w:r>
        <w:rPr>
          <w:rFonts w:eastAsia="Arial" w:cs="Arial" w:ascii="Arial" w:hAnsi="Arial"/>
          <w:sz w:val="22"/>
          <w:szCs w:val="22"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 w:ascii="Arial" w:hAnsi="Arial"/>
          <w:b/>
          <w:sz w:val="22"/>
          <w:szCs w:val="22"/>
        </w:rPr>
        <w:t>Introdução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Para se realizar transações entre 2 ou mais agentes no modelo financeiro tradicional, é necessária a existência de um intermediador, que por sua vez necessita de uma taxa para realizar a transação. Esse intermediário, usualmente bancos e instituições financeiras, mostra-se necessário para garantir a confiança, segurança e validade da transação. A moeda com a qual essa operação é realizada também precisa ser emitida por um órgão centralizador, como um banco central. Essa moeda muitas vezes tem seu lastro baseado em ouro ou confiança. Para abordar a questão mencionada acima, é preciso então a criação de um sistema que possa garantir transações seguras, confiáveis e válidas sem a necessidade de um intermediador e de um emissor centralizado(Patel et al., 2020; Vranken, 2017).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Em 2008 é proposto, no artigo “Bitcoin: A Peer-to-Peer Electronic Cash System” (Nakamoto, 2008), um conceito de moeda digital finita e transação online sem a necessidade de um intermediador, distribuído na rede e apoiado na tecnologia de “blockchain”, que por sua vez é baseada no artigo “How to time-stamp a digital document” (Haber e Stornetta, 1991). A tecnologia de transação atua como uma “caderneta pública” que é capaz de registrar movimentações em blocos, que por sua vez são encadeados a outros blocos gerados anteriormente, dando origem ao nome “blockchain” - cadeia de blocos. Devido ao caráter público da </w:t>
      </w:r>
      <w:r>
        <w:rPr>
          <w:rFonts w:eastAsia="Arial" w:cs="Arial" w:ascii="Arial" w:hAnsi="Arial"/>
          <w:i/>
          <w:sz w:val="22"/>
          <w:szCs w:val="22"/>
        </w:rPr>
        <w:t>blockchain</w:t>
      </w:r>
      <w:r>
        <w:rPr>
          <w:rFonts w:eastAsia="Arial" w:cs="Arial" w:ascii="Arial" w:hAnsi="Arial"/>
          <w:sz w:val="22"/>
          <w:szCs w:val="22"/>
        </w:rPr>
        <w:t>, existe transparência em suas transações. Um processo baseado em mecanismos de consenso e hash condicionados chamado de “mineração” garante que as transações válidas sejam adicionadas à corrente e, consequentemente, contabilizadas, além de garantir rastreabilidade e histórico. A mineração é realizada dentro dos nodos da rede e é um processo computacionalmente exigente e necessário para o funcionamento do sistema, gerando a necessidade de uma compensação aos agentes mineradores. Essa compensação é gerada pelo próprio sistema, e corresponde a uma quantia de bitcoin baseada na quantidade de bitcoins existentes na rede. Dessa forma, a cada 210000 blocos o sistema diminui a recompensa na metade, o que é chamado de “halving”, tornando a operação de mineração gradativamente menos rentável (Vranken, 2017).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Desde o surgimento do bitcoin, o interesse pelas criptomoedas cresceu consideravelmente e atraiu a atenção de investidores e empresas. Sua tecnologia deu origem a outras criptomoedas, com enfoques diversos, variando na criação de moedas focadas em transações dentro de redes específicas até a criação de redes especializadas em transações, seguro e “supply chain” no campo da agricultura (Shen et al., 2020). 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O mercado de criptomoedas corresponde, hoje, março de 2024, a 2,6 trilhões de dólares, sendo aproximadamente metade desse valor, 1,28 trilhões de dólares, correspondente ao bitcoin (Forbes Digital Assets, 2024). Alguns dos fatores determinantes para essa relevância foi a possibilidade da utilização do bitcoin na diversificação em portfólios e o potencial de geração de lucro, desvencilhado da centralização governamental. Entretanto, um maior potencial de lucro vem acompanhado de maior risco, e consequentemente maior potencial de perdas, em especial com posições de longo prazo, indicando uma alta volatilidade por parte do criptoativo (Nedvd e Krisfoufek, 2023; Shen et al., 2020).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 previsão financeira desempenha um papel importante no mercado financeiro e no campo da economia, e é frequentemente utilizada na modelagem de ativos de alta volatilidade, na gestão de riscos e como ferramenta auxiliar na tomada de decisões. Alguns dos modelos mais comuns para esse fim são ARIMA para a modelagem e previsão da média e GARCH para lidar com a volatilidade, amplamente utilizados em artigos sobre a modelagem com retornos de bitcoin (Dyhrberg, 2015; Katsiampa, 2017; Phillip et al., 2017; Shen et al., 2020). Entretanto, a utilização de modelos de aprendizado de máquina não é tão amplamente difundida neste meio. Redes neurais recorrentes são capazes de aprender dependências de longo prazo em séries temporais, identificam características lineares e não lineares, apresentam maior sensibilidade a flutuações no tempo e podem preservar mais informação temporal durante o treino quando comparadas aos métodos econométricos tradicionais (Shen et al., 2020).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Levantados todos esses pontos, torna-se desejável a utilização de modelos capazes de lidar com a natureza imprevisível do bitcoin e que possuam características diferentes das já observadas em modelos comuns a literatura, tornando justificada a construção de um comparativo entre redes neurais recorrentes, em especial, GRU e LTSM, que possuem capacidade de lidar com o problema do gradiente desvanecente, e um modelo econométrico tradicional ARIMA. Dessa forma, o presente trabalho busca identificar qual dos modelos apresentará uma melhor performance de previsão de retornos do bitcoin.</w:t>
      </w:r>
    </w:p>
    <w:p>
      <w:pPr>
        <w:pStyle w:val="Normal"/>
        <w:spacing w:lineRule="auto" w:line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 w:ascii="Arial" w:hAnsi="Arial"/>
          <w:b/>
          <w:sz w:val="22"/>
          <w:szCs w:val="22"/>
        </w:rPr>
        <w:t>Objetivo</w:t>
      </w:r>
    </w:p>
    <w:p>
      <w:pPr>
        <w:pStyle w:val="Normal"/>
        <w:spacing w:before="0" w:after="40"/>
        <w:jc w:val="both"/>
        <w:rPr>
          <w:rFonts w:ascii="Arial" w:hAnsi="Arial" w:eastAsia="Arial" w:cs="Arial"/>
          <w:i/>
          <w:i/>
          <w:sz w:val="18"/>
          <w:szCs w:val="18"/>
        </w:rPr>
      </w:pPr>
      <w:r>
        <w:rPr>
          <w:rFonts w:eastAsia="Arial" w:cs="Arial" w:ascii="Arial" w:hAnsi="Arial"/>
          <w:i/>
          <w:sz w:val="18"/>
          <w:szCs w:val="18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O trabalho tem como objetivo determinar se os modelos de redes neurais recorrentes LSTM e GRU são capazes de apresentar melhor desempenho preditivo sobre os retornos de bitcoin quando comparados ao modelo tradicional ARIMA.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 w:ascii="Arial" w:hAnsi="Arial"/>
          <w:b/>
          <w:sz w:val="22"/>
          <w:szCs w:val="22"/>
        </w:rPr>
        <w:t xml:space="preserve">Material e </w:t>
      </w:r>
      <w:commentRangeStart w:id="0"/>
      <w:r>
        <w:rPr>
          <w:rFonts w:eastAsia="Arial" w:cs="Arial" w:ascii="Arial" w:hAnsi="Arial"/>
          <w:b/>
          <w:sz w:val="22"/>
          <w:szCs w:val="22"/>
        </w:rPr>
        <w:t xml:space="preserve">Métodos </w:t>
      </w:r>
      <w:commentRangeEnd w:id="0"/>
      <w:r>
        <w:commentReference w:id="0"/>
      </w: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Normal"/>
        <w:ind w:left="360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Os dados utilizados na pesquisa serão obtidos através do website CoinMarketCap.com (CoinMarketCap, 2024). Serão utilizados os valores de fechamento mensal do bitcoin, compreendendo o período de abril de 2013 até fevereiro de 2024. As primeiras 119 entradas serão utilizadas para o treino dos modelos, e as últimas 12 entradas para o teste. Será calculado o log-retorno entre os meses.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Os modelos utilizados serão ARIMA, sigla para “AutoRegressive Integrated Moving Average”, GRU, sigla para “Gated Recurrent Unit”, e LSTM, sigla para “Long Short-Term Memory”, que serão construídos com a linguagem python, por meio das bibliotecas </w:t>
      </w:r>
      <w:r>
        <w:rPr>
          <w:rFonts w:eastAsia="Arial" w:cs="Arial" w:ascii="Arial" w:hAnsi="Arial"/>
          <w:sz w:val="22"/>
          <w:szCs w:val="22"/>
        </w:rPr>
        <w:t>Statsmodels</w:t>
      </w:r>
      <w:r>
        <w:rPr>
          <w:rFonts w:eastAsia="Arial" w:cs="Arial" w:ascii="Arial" w:hAnsi="Arial"/>
          <w:sz w:val="22"/>
          <w:szCs w:val="22"/>
        </w:rPr>
        <w:t xml:space="preserve"> (</w:t>
      </w:r>
      <w:r>
        <w:rPr>
          <w:rFonts w:eastAsia="Arial" w:cs="Arial" w:ascii="Arial" w:hAnsi="Arial"/>
          <w:sz w:val="22"/>
          <w:szCs w:val="22"/>
        </w:rPr>
        <w:t>Statsmodels</w:t>
      </w:r>
      <w:r>
        <w:rPr>
          <w:rFonts w:eastAsia="Arial" w:cs="Arial" w:ascii="Arial" w:hAnsi="Arial"/>
          <w:sz w:val="22"/>
          <w:szCs w:val="22"/>
        </w:rPr>
        <w:t>, 2024) e Keras (Keras, 2024). Para a determinação da ordem do modelo ARIMA-GARCH, será empregada a comparação das métricas AIC - Aikaike Information Criterion, BIC - Bayesian Information Criterion, significância dos seus parâmetros e a verificação da ACF - Autocorrelation Function e PACF - Partial Autocorrelation Function dos resíduos normalizados. Para a determinação dos modelos GRU e LTSM, será utilizada a técnica de “grid-search”</w:t>
      </w:r>
      <w:r>
        <w:rPr>
          <w:rFonts w:eastAsia="Arial" w:cs="Arial" w:ascii="Arial" w:hAnsi="Arial"/>
          <w:i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na otimização dos hiperparâmetros.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 realização da comparação das previsões obtidas pelos modelos será realizada utilizando as métricas RMSE - Root Mean Square Error e sMAPE - Symmetric Mean Absolute Percentage Error. A utilização de critérios de mensuração de erros de categorias diferentes é recomendada a fim de se contabilizar pelas limitações que cada categoria apresenta (Shcherbakov et al., 2013).</w:t>
      </w:r>
    </w:p>
    <w:p>
      <w:pPr>
        <w:pStyle w:val="Normal"/>
        <w:spacing w:lineRule="auto" w:line="360"/>
        <w:ind w:firstLine="72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 w:ascii="Arial" w:hAnsi="Arial"/>
          <w:b/>
          <w:sz w:val="22"/>
          <w:szCs w:val="22"/>
        </w:rPr>
        <w:t>Resultados Esperados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sz w:val="22"/>
          <w:szCs w:val="22"/>
        </w:rPr>
        <w:t>É esperada a construção de um comparativo entre os 3 modelos propostos, e a determinação da resposta à pergunta proposta nos objetivos acerca da performance dos modelos baseados em redes neurais recorrentes sobre o modelo econométrico tradicional ARIMA.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numPr>
          <w:ilvl w:val="0"/>
          <w:numId w:val="1"/>
        </w:numPr>
        <w:spacing w:before="0" w:after="40"/>
        <w:ind w:left="357" w:hanging="357"/>
        <w:rPr/>
      </w:pPr>
      <w:r>
        <w:rPr>
          <w:rFonts w:eastAsia="Arial" w:cs="Arial" w:ascii="Arial" w:hAnsi="Arial"/>
          <w:b/>
          <w:sz w:val="22"/>
          <w:szCs w:val="22"/>
        </w:rPr>
        <w:t>Cronograma de Atividades</w:t>
      </w:r>
    </w:p>
    <w:p>
      <w:pPr>
        <w:pStyle w:val="Normal"/>
        <w:spacing w:before="0" w:after="4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tbl>
      <w:tblPr>
        <w:tblStyle w:val="a0"/>
        <w:tblW w:w="90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7"/>
        <w:gridCol w:w="616"/>
        <w:gridCol w:w="603"/>
        <w:gridCol w:w="595"/>
        <w:gridCol w:w="601"/>
        <w:gridCol w:w="598"/>
        <w:gridCol w:w="582"/>
        <w:gridCol w:w="611"/>
        <w:gridCol w:w="520"/>
        <w:gridCol w:w="570"/>
        <w:gridCol w:w="563"/>
      </w:tblGrid>
      <w:tr>
        <w:trPr>
          <w:trHeight w:val="255" w:hRule="atLeast"/>
        </w:trPr>
        <w:tc>
          <w:tcPr>
            <w:tcW w:w="32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Atividades planejadas</w:t>
            </w:r>
          </w:p>
        </w:tc>
        <w:tc>
          <w:tcPr>
            <w:tcW w:w="585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Mês</w:t>
            </w:r>
          </w:p>
        </w:tc>
      </w:tr>
      <w:tr>
        <w:trPr>
          <w:trHeight w:val="255" w:hRule="atLeast"/>
        </w:trPr>
        <w:tc>
          <w:tcPr>
            <w:tcW w:w="32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4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6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7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8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9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10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11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12</w:t>
            </w:r>
          </w:p>
        </w:tc>
      </w:tr>
      <w:tr>
        <w:trPr>
          <w:trHeight w:val="255" w:hRule="atLeast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Construção do projeto de pesquisa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55" w:hRule="atLeast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Construção do modelo econométrico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x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x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55" w:hRule="atLeast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Construção dos modelos em deep learning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x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x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55" w:hRule="atLeast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Entrega dos resultados preliminares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x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55" w:hRule="atLeast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Desenvolvimento de resultados e conclusão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x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55" w:hRule="atLeast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7EE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Correções referentes a revisão final do orientador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x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x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4C6E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55" w:hRule="atLeast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599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Entrega da versão escrita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5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5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5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5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5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5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5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5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x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5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E5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55" w:hRule="atLeast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Apresentação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x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x</w:t>
            </w:r>
          </w:p>
        </w:tc>
      </w:tr>
      <w:tr>
        <w:trPr>
          <w:trHeight w:val="255" w:hRule="atLeast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BA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  <w:shd w:fill="C5E0B3" w:val="clear"/>
        </w:rPr>
        <w:t>Projeto de Pesquisa</w:t>
      </w:r>
      <w:r>
        <w:rPr>
          <w:rFonts w:eastAsia="Arial" w:cs="Arial" w:ascii="Arial" w:hAnsi="Arial"/>
          <w:sz w:val="18"/>
          <w:szCs w:val="18"/>
        </w:rPr>
        <w:t xml:space="preserve">; </w:t>
      </w:r>
      <w:r>
        <w:rPr>
          <w:rFonts w:eastAsia="Arial" w:cs="Arial" w:ascii="Arial" w:hAnsi="Arial"/>
          <w:sz w:val="18"/>
          <w:szCs w:val="18"/>
          <w:shd w:fill="D9E2F3" w:val="clear"/>
        </w:rPr>
        <w:t>Resultados Preliminares</w:t>
      </w:r>
      <w:r>
        <w:rPr>
          <w:rFonts w:eastAsia="Arial" w:cs="Arial" w:ascii="Arial" w:hAnsi="Arial"/>
          <w:sz w:val="18"/>
          <w:szCs w:val="18"/>
        </w:rPr>
        <w:t xml:space="preserve">; </w:t>
      </w:r>
      <w:r>
        <w:rPr>
          <w:rFonts w:eastAsia="Arial" w:cs="Arial" w:ascii="Arial" w:hAnsi="Arial"/>
          <w:sz w:val="18"/>
          <w:szCs w:val="18"/>
          <w:shd w:fill="FFE599" w:val="clear"/>
        </w:rPr>
        <w:t>Entrega do Trabalho de Conclusão de Curso</w:t>
      </w:r>
      <w:r>
        <w:rPr>
          <w:rFonts w:eastAsia="Arial" w:cs="Arial" w:ascii="Arial" w:hAnsi="Arial"/>
          <w:sz w:val="18"/>
          <w:szCs w:val="18"/>
        </w:rPr>
        <w:t xml:space="preserve">; </w:t>
      </w:r>
      <w:r>
        <w:rPr>
          <w:rFonts w:eastAsia="Arial" w:cs="Arial" w:ascii="Arial" w:hAnsi="Arial"/>
          <w:sz w:val="18"/>
          <w:szCs w:val="18"/>
          <w:shd w:fill="F7CAAC" w:val="clear"/>
        </w:rPr>
        <w:t>Entrega da Apresentação da Defesa</w:t>
      </w:r>
      <w:r>
        <w:rPr>
          <w:rFonts w:eastAsia="Arial" w:cs="Arial" w:ascii="Arial" w:hAnsi="Arial"/>
          <w:sz w:val="18"/>
          <w:szCs w:val="18"/>
        </w:rPr>
        <w:t xml:space="preserve">    </w:t>
      </w:r>
    </w:p>
    <w:p>
      <w:pPr>
        <w:pStyle w:val="Normal"/>
        <w:ind w:left="360" w:hanging="0"/>
        <w:rPr>
          <w:rFonts w:ascii="Arial" w:hAnsi="Arial" w:eastAsia="Arial" w:cs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 w:ascii="Arial" w:hAnsi="Arial"/>
          <w:b/>
          <w:sz w:val="22"/>
          <w:szCs w:val="22"/>
        </w:rPr>
        <w:t>Referências Bibliográficas</w:t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pBdr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Arch. 2024. ARCH models in Python. Disponível em: &lt;https://github.com/bashtage/arch&gt;. Acesso em: 24 mar. 2024.</w:t>
      </w:r>
    </w:p>
    <w:p>
      <w:pPr>
        <w:pStyle w:val="Normal"/>
        <w:pBdr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CoinMarketCap. 2024. Bitcoin price today, BTC to USD live price, marketcap and chart. Disponível em: &lt;https://coinmarketcap.com/currencies/bitcoin/historical-data/&gt;. Acesso em: 24 mar. 2024.</w:t>
      </w:r>
    </w:p>
    <w:p>
      <w:pPr>
        <w:pStyle w:val="Normal"/>
        <w:pBdr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pBdr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Dyhrberg, A.H. 2015. Bitcoin, gold and the dollar: A GARCH volatility analysis.</w:t>
      </w:r>
    </w:p>
    <w:p>
      <w:pPr>
        <w:pStyle w:val="Normal"/>
        <w:pBdr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Finance Research Letters 1-8.</w:t>
      </w:r>
    </w:p>
    <w:p>
      <w:pPr>
        <w:pStyle w:val="Normal"/>
        <w:pBdr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Forbes Digital Assets. 2024. Cryptocurrency Prices, Market Cap and Charts. Disponível em:</w:t>
      </w:r>
    </w:p>
    <w:p>
      <w:pPr>
        <w:pStyle w:val="Normal"/>
        <w:spacing w:lineRule="auto" w:line="360"/>
        <w:ind w:right="140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&lt;</w:t>
      </w:r>
      <w:hyperlink r:id="rId2">
        <w:r>
          <w:rPr>
            <w:rFonts w:eastAsia="Arial" w:cs="Arial" w:ascii="Arial" w:hAnsi="Arial"/>
            <w:color w:val="1155CC"/>
            <w:sz w:val="22"/>
            <w:szCs w:val="22"/>
            <w:u w:val="single"/>
          </w:rPr>
          <w:t>Cryptocurrency Prices, Market Cap and Charts | Forbes Digital Assets</w:t>
        </w:r>
      </w:hyperlink>
      <w:r>
        <w:rPr>
          <w:rFonts w:eastAsia="Arial" w:cs="Arial" w:ascii="Arial" w:hAnsi="Arial"/>
          <w:sz w:val="22"/>
          <w:szCs w:val="22"/>
        </w:rPr>
        <w:t>&gt;. Acesso em: 23 mar. 2024.</w:t>
      </w:r>
    </w:p>
    <w:p>
      <w:pPr>
        <w:pStyle w:val="Normal"/>
        <w:spacing w:lineRule="auto" w:line="360"/>
        <w:ind w:right="140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360"/>
        <w:ind w:right="140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Haber, S.; Stornetta, W.S. 1991. How to time-stamp a digital document. Journal of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Cryptology 3: 99-111.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Katsiampa, P. 2017. Volatility estimation for Bitcoin: A comparison of GARCH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models. Economics Letters.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Keras. 2024. Keras: Deep Learning for humans. Disponível em: &lt;https://keras.io/&gt;. Acesso em: 24 mar. 2024.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Nakamoto, S. 2008. Bitcoin: A Peer-to-Peer Electronic Cash System. Disponível em: https://bitcoin.org/bitcoin.pdf. Acesso em: 17 mar. 2024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Nedved, M.; Krisfoufek, L. 2023. Safe havens for Bitcoin. Finance Research Letters 51.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Patel, M.M.; Tanwar, S.; Gupta, R.; Kumar, N. 2020. A Deep Learning-based Cryptocurrency Price Prediction Scheme for Financial Institutions. Journal of Information Security and Applications 55.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Phillip, A.; Chan, J.; Peiris, S. 2017. A new look at Cryptocurrencies.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Economics Letters.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Shen, Z.; Qing, W.; Leatham, D.J. 2020. Bitcoin Return Volatility Forecasting: A Comparative Study between GARCH and RNN. Journal of Risk and Financial Management 14(7): 337.</w:t>
      </w:r>
    </w:p>
    <w:p>
      <w:pPr>
        <w:pStyle w:val="Normal"/>
        <w:spacing w:lineRule="auto" w:line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Shcherbakov, M.; Brebels, A.; Shcherbakova, N.; Tyukov, A.; Janovsky, T.; Kamaev, V. 2013. A survey of forecast error measures. World Applied Sciences Journal 24: 171–176.</w:t>
      </w:r>
    </w:p>
    <w:p>
      <w:pPr>
        <w:pStyle w:val="Normal"/>
        <w:spacing w:lineRule="auto" w:line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Vrankin, H. 2017. Sustainability of bitcoin and blockchains. Current Opinion in Environmental Sustainability 28: 1-9.</w:t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350"/>
        <w:ind w:right="140" w:hanging="0"/>
        <w:rPr>
          <w:rFonts w:ascii="Arial" w:hAnsi="Arial" w:eastAsia="Arial" w:cs="Arial"/>
          <w:sz w:val="22"/>
          <w:szCs w:val="22"/>
        </w:rPr>
      </w:pPr>
      <w:r>
        <w:rPr/>
      </w:r>
    </w:p>
    <w:sectPr>
      <w:headerReference w:type="default" r:id="rId3"/>
      <w:type w:val="nextPage"/>
      <w:pgSz w:w="11906" w:h="16838"/>
      <w:pgMar w:left="1418" w:right="1418" w:gutter="0" w:header="708" w:top="1418" w:footer="0" w:bottom="1418"/>
      <w:pgNumType w:start="1"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Cliente" w:date="2024-04-23T18:06:00Z" w:initials="C">
    <w:p>
      <w:pPr>
        <w:overflowPunct w:val="false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Aqui devemos melhorar a estrutura e para isso devemos seguir o seguinte raciocínio.</w:t>
      </w:r>
    </w:p>
    <w:p>
      <w:pPr>
        <w:overflowPunct w:val="false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overflowPunct w:val="false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 xml:space="preserve">Divida em 3 blocos - </w:t>
      </w:r>
    </w:p>
    <w:p>
      <w:pPr>
        <w:overflowPunct w:val="false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overflowPunct w:val="false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Materiais: Aqui você pode deve explicar a sua base de dados. Para tanto eu criaria uma tabela com 3 colunas:</w:t>
      </w:r>
    </w:p>
    <w:p>
      <w:pPr>
        <w:overflowPunct w:val="false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1 Nome da Variável, 2 trabalhos que usaram essa variável com a mesma finalidade que a sua, 3 porque estamos incluindo a variável no modelo.</w:t>
      </w:r>
    </w:p>
    <w:p>
      <w:pPr>
        <w:overflowPunct w:val="false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overflowPunct w:val="false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 xml:space="preserve">2 Métodos: um tópico para cada metodo utilizado caso sejam utilizados diferentes modelos. Não é necessário aprofundamento algébrico. No entanto, precisamos que voce passe uma boa noção intuitive. </w:t>
      </w:r>
    </w:p>
    <w:p>
      <w:pPr>
        <w:overflowPunct w:val="false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  <w:p>
      <w:pPr>
        <w:overflowPunct w:val="false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3 Estratégia empírica. Aqui você descreve o passo a passo da análise e explica qual métrica vai escolher para avaliar os modelos e porque é a métrica mais adequada no seu trabalho.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ind w:right="3968" w:hanging="0"/>
      <w:jc w:val="both"/>
      <w:rPr>
        <w:rFonts w:ascii="Arial" w:hAnsi="Arial" w:eastAsia="Arial" w:cs="Arial"/>
        <w:color w:val="000000"/>
        <w:sz w:val="16"/>
        <w:szCs w:val="16"/>
      </w:rPr>
    </w:pPr>
    <w:r>
      <w:rPr>
        <w:rFonts w:eastAsia="Arial" w:cs="Arial" w:ascii="Arial" w:hAnsi="Arial"/>
        <w:color w:val="000000"/>
        <w:sz w:val="16"/>
        <w:szCs w:val="16"/>
      </w:rP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5100320</wp:posOffset>
          </wp:positionH>
          <wp:positionV relativeFrom="paragraph">
            <wp:posOffset>-38100</wp:posOffset>
          </wp:positionV>
          <wp:extent cx="673100" cy="28257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82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color w:val="000000"/>
        <w:sz w:val="16"/>
        <w:szCs w:val="16"/>
      </w:rPr>
      <w:t xml:space="preserve">Projeto de Pesquisa – Trabalho de Conclusão de Curso </w:t>
    </w:r>
  </w:p>
  <w:p>
    <w:pPr>
      <w:pStyle w:val="Normal"/>
      <w:pBdr/>
      <w:tabs>
        <w:tab w:val="clear" w:pos="720"/>
        <w:tab w:val="left" w:pos="1785" w:leader="none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0" allowOverlap="1" relativeHeight="11" wp14:anchorId="311A9A67">
              <wp:simplePos x="0" y="0"/>
              <wp:positionH relativeFrom="column">
                <wp:posOffset>0</wp:posOffset>
              </wp:positionH>
              <wp:positionV relativeFrom="paragraph">
                <wp:posOffset>76200</wp:posOffset>
              </wp:positionV>
              <wp:extent cx="5762625" cy="22225"/>
              <wp:effectExtent l="5715" t="5715" r="5080" b="5080"/>
              <wp:wrapNone/>
              <wp:docPr id="2" name="Conector de Seta Reta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2520" cy="223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95959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de Seta Reta 1" path="m0,0l-2147483648,-2147483647e" stroked="t" o:allowincell="f" style="position:absolute;margin-left:0pt;margin-top:6pt;width:453.7pt;height:1.7pt;mso-wrap-style:none;v-text-anchor:middle" wp14:anchorId="311A9A67" type="_x0000_t32">
              <v:fill o:detectmouseclick="t" on="false"/>
              <v:stroke color="#595959" weight="9360" joinstyle="round" endcap="flat"/>
              <w10:wrap type="none"/>
            </v:shape>
          </w:pict>
        </mc:Fallback>
      </mc:AlternateContent>
    </w:r>
    <w:r>
      <w:rPr>
        <w:color w:val="000000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2"/>
        <w:b/>
        <w:szCs w:val="22"/>
        <w:rFonts w:ascii="Arial" w:hAnsi="Arial" w:eastAsia="Arial" w:cs="Aria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6e02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106e02"/>
    <w:rPr/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106e02"/>
    <w:rPr>
      <w:b/>
      <w:bCs/>
    </w:rPr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106e02"/>
    <w:pPr/>
    <w:rPr/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106e02"/>
    <w:pPr/>
    <w:rPr>
      <w:b/>
      <w:bCs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orbes.com/digital-assets/crypto-prices/?sh=38fc4e422478" TargetMode="External"/><Relationship Id="rId3" Type="http://schemas.openxmlformats.org/officeDocument/2006/relationships/header" Target="header1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LibreOffice/7.5.1.2$Windows_X86_64 LibreOffice_project/fcbaee479e84c6cd81291587d2ee68cba099e129</Application>
  <AppVersion>15.0000</AppVersion>
  <Pages>5</Pages>
  <Words>1437</Words>
  <Characters>8315</Characters>
  <CharactersWithSpaces>9673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2024-04-23T21:07:00Z</dcterms:created>
  <dc:creator>Daniel Alvarez</dc:creator>
  <dc:description/>
  <dc:language>pt-BR</dc:language>
  <cp:lastModifiedBy/>
  <dcterms:modified xsi:type="dcterms:W3CDTF">2024-05-25T19:32:30Z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