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Projeto de Pesquisa e Planejamento de Atividades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390"/>
        <w:gridCol w:w="2693"/>
        <w:gridCol w:w="1984"/>
        <w:tblGridChange w:id="0">
          <w:tblGrid>
            <w:gridCol w:w="4390"/>
            <w:gridCol w:w="2693"/>
            <w:gridCol w:w="198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Aluno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Gustavo Menezes de Sirqueira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início curso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__/__/____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Orientador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Daniel Alvarez Firmino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Defesa em: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Dez/2024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Curso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MBA Data Science e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Modalidade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Distância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231</w:t>
            </w:r>
          </w:p>
        </w:tc>
      </w:tr>
    </w:tbl>
    <w:p w:rsidR="00000000" w:rsidDel="00000000" w:rsidP="00000000" w:rsidRDefault="00000000" w:rsidRPr="00000000" w14:paraId="0000000D">
      <w:pPr>
        <w:spacing w:after="8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0" w:before="0" w:lineRule="auto"/>
        <w:ind w:left="357" w:hanging="357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Título do projeto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(Inicial)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Comparação de Modelos de previsão de séries temporais aplicados a criptomoedas</w:t>
      </w:r>
    </w:p>
    <w:p w:rsidR="00000000" w:rsidDel="00000000" w:rsidP="00000000" w:rsidRDefault="00000000" w:rsidRPr="00000000" w14:paraId="00000011">
      <w:pPr>
        <w:spacing w:after="40" w:before="0" w:lineRule="auto"/>
        <w:ind w:left="357" w:firstLine="0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se realizar transações entre 2 ou mais agentes no modelo financeiro tradicional, é necessária a existência de um intermediador, que por sua vez necessita de uma taxa para realizar a transação. Esse intermediário, usualmente bancos e instituições financeiras, mostra-se necessário para garantir a confiança, segurança e validade da transação. A moeda com a qual essa operação é realizada também precisa ser emitida por um órgão centralizador, como um banco central. Essa moeda muitas vezes tem seu lastro baseado em ouro ou confiança. Para abordar a questão mencionada acima, é preciso então a criação de um sistema que possa garantir transações seguras, confiáveis e válidas sem a necessidade de um intermediador e de um emissor centralizado(Patel et al., 2020; Vranken, 2017).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2008 é proposto, no artigo “Bitcoin: A Peer-to-Peer Electronic Cash System” (Nakamoto, 2008), um conceito de moeda digital finita e transação online sem a necessidade de um intermediador, distribuído na rede e apoiado na tecnologia de “blockchain”, que por sua vez é baseada no artigo “How to time-stamp a digital document” (Haber e Stornetta, 1991). A tecnologia de transação atua como uma “caderneta pública” que é capaz de registrar movimentações em blocos, que por sua vez são encadeados a outros blocos gerados anteriormente, dando origem ao nome “blockchain” - cadeia de blocos. Devido ao caráter público da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blockchain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existe transparência em suas transações. Um processo baseado em mecanismos de consenso e hash condicionados chamado de “mineração” garante que as transações válidas sejam adicionadas à corrente e, consequentemente, contabilizadas, além de garantir rastreabilidade e histórico. A mineração é realizada dentro dos nodos da rede e é um processo computacionalmente exigente e necessário para o funcionamento do sistema, gerando a necessidade de uma compensação aos agentes mineradores. Essa compensação é gerada pelo próprio sistema, e corresponde a uma quantia de bitcoin baseada na quantidade de bitcoins existentes na rede. Dessa forma, a cada 210000 blocos o sistema diminui a recompensa na metade, o que é chamado de “halving”, tornando a operação de mineração gradativamente menos rentável (Vranken, 2017).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Desde o surgimento do bitcoin, o interesse pelas criptomoedas cresceu consideravelmente e atraiu a atenção de investidores e empresas. Sua tecnologia deu origem a outras criptomoedas, com enfoques diversos, variando na criação de moedas focadas em transações dentro de redes específicas até a criação de redes especializadas em transações, seguro e “supply chain” no campo da agricultura (Shen et al., 2020). 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mercado de criptomoedas corresponde, hoje, março de 2024, a 2,6 trilhões de dólares, sendo aproximadamente metade desse valor, 1,28 trilhões de dólares, correspondente ao bitcoin (Forbes Digital Assets, 2024). Alguns dos fatores determinantes para essa relevância foi a possibilidade da utilização do bitcoin na diversificação em portfólios e o potencial de geração de lucro, desvencilhado da centralização governamental. Entretanto, um maior potencial de lucro vem acompanhado de maior risco, e consequentemente maior potencial de perdas, em especial com posições de longo prazo, indicando uma alta volatilidade por parte do criptoativo (Nedvd e Krisfoufek, 2023; Shen et al., 2020).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previsão financeira desempenha um papel importante no mercado financeiro e no campo da economia, e é frequentemente utilizada na modelagem de ativos de alta volatilidade, na gestão de riscos e como ferramenta auxiliar na tomada de decisões. Alguns dos modelos mais comuns para esse fim são ARIMA para a modelagem e previsão da média e GARCH para lidar com a volatilidade, amplamente utilizados em artigos sobre a modelagem com retornos de bitcoin (Dyhrberg, 2015; Katsiampa, 2017; Phillip et al., 2017; Shen et al., 2020). Entretanto, a utilização de modelos de aprendizado de máquina não é tão amplamente difundida neste meio. Redes neurais recorrentes são capazes de aprender dependências de longo prazo em séries temporais, identificam características lineares e não lineares, apresentam maior sensibilidade a flutuações no tempo e podem preservar mais informação temporal durante o treino quando comparadas aos métodos econométricos tradicionais (Shen et al., 2020).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Levantados todos esses pontos, torna-se desejável a utilização de modelos capazes de lidar com a natureza imprevisível do bitcoin e que possuam características diferentes das já observadas em modelos comuns a literatura, tornando justificada a construção de um comparativo entre redes neurais recorrentes, em especial, GRU e LTSM, que possuem capacidade de lidar com o problema do gradiente desvanecente, e um modelo econométrico tradicional ARIMA-GARCH. Dessa forma, o presente trabalho busca identificar qual dos modelos apresentará uma melhor performance de previsão de retornos do bitcoin.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0" w:lineRule="auto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trabalho tem como objetivo determinar se os modelos de redes neurais recorrentes LSTM e GRU são capazes de apresentar melhor desempenho preditivo sobre os retornos de bitcoin quando comparados ao modelo tradicional ARIMA-GARCH.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Material e Métodos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utilizados na pesquisa serão obtidos através do website CoinMarketCap.com (CoinMarketCap, 2024). Serão utilizados os valores de fechamento mensal do bitcoin, compreendendo o período de abril de 2013 até fevereiro de 2024. As primeiras 119 entradas serão utilizadas para o treino dos modelos, e as últimas 12 entradas para o teste. Será calculado o log-retorno entre os meses.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modelos utilizados serão ARIMA-GARCH, sigla para “AutoRegressive Integrated Moving Average - Generalized AutoRegressive Conditional Heterocedasticity”, GRU, sigla para “Gated Recurrent Unit”, e LSTM, sigla para “Long Short-Term Memory”, que serão construídos com a linguagem python, por meio das bibliotecas Arch (Arch, 2024) e Keras (Keras, 2024). Para a determinação da ordem do modelo ARIMA-GARCH, será empregada a comparação das métricas AIC - Aikaike Information Criterion, BIC - Bayesian Information Criterion, significância dos seus parâmetros e a verificação da ACF - Autocorrelation Function e PACF - Partial Autocorrelation Function dos resíduos normalizados. Para a determinação dos modelos GRU e LTSM, será utilizada a técnica de “grid-search”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otimização dos hiperparâmetros.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realização da comparação das previsões obtidas pelos modelos será realizada utilizando as métricas RMSE - Root Mean Square Error e sMAPE - Symmetric Mean Absolute Percentage Error. A utilização de critérios de mensuração de erros de categorias diferentes é recomendada a fim de se contabilizar pelas limitações que cada categoria apresenta (Shcherbakov et al., 2013).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esperada a construção de um comparativo entre os 3 modelos propostos, e a determinação da resposta à pergunta proposta nos objetivos acerca da performance dos modelos baseados em redes neurais recorrentes sobre o modelo econométrico tradicional ARIMA-GARCH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40" w:before="0" w:lineRule="auto"/>
        <w:ind w:left="357" w:hanging="357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Cronograma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0" w:before="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8.0" w:type="dxa"/>
        <w:jc w:val="left"/>
        <w:tblLayout w:type="fixed"/>
        <w:tblLook w:val="0400"/>
      </w:tblPr>
      <w:tblGrid>
        <w:gridCol w:w="3207"/>
        <w:gridCol w:w="617"/>
        <w:gridCol w:w="602"/>
        <w:gridCol w:w="596"/>
        <w:gridCol w:w="600"/>
        <w:gridCol w:w="599"/>
        <w:gridCol w:w="582"/>
        <w:gridCol w:w="610"/>
        <w:gridCol w:w="521"/>
        <w:gridCol w:w="569"/>
        <w:gridCol w:w="565"/>
        <w:tblGridChange w:id="0">
          <w:tblGrid>
            <w:gridCol w:w="3207"/>
            <w:gridCol w:w="617"/>
            <w:gridCol w:w="602"/>
            <w:gridCol w:w="596"/>
            <w:gridCol w:w="600"/>
            <w:gridCol w:w="599"/>
            <w:gridCol w:w="582"/>
            <w:gridCol w:w="610"/>
            <w:gridCol w:w="521"/>
            <w:gridCol w:w="569"/>
            <w:gridCol w:w="56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Atividades planejadas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Mês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Construção do projeto de pesquisa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Construção do modelo econométrico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Construção dos modelos em deep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dos resultados preliminares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Desenvolvimento de resultados e 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Correções referentes a revisão final do orientador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da versão escrita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Apresentação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c5e0b3" w:val="clear"/>
          <w:rtl w:val="0"/>
        </w:rPr>
        <w:t xml:space="preserve">Projeto de Pesquisa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d9e2f3" w:val="clear"/>
          <w:rtl w:val="0"/>
        </w:rPr>
        <w:t xml:space="preserve">Resultados Preliminares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fe599" w:val="clear"/>
          <w:rtl w:val="0"/>
        </w:rPr>
        <w:t xml:space="preserve">Entrega do Trabalho de Conclusão de Curso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7caac" w:val="clear"/>
          <w:rtl w:val="0"/>
        </w:rPr>
        <w:t xml:space="preserve">Entrega da Apresentação da Defesa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Arch. 2024. ARCH models in Python. Disponível em: &lt;https://github.com/bashtage/arch&gt;. Acesso em: 24 mar. 2024.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CoinMarketCap. 2024. Bitcoin price today, BTC to USD live price, marketcap and chart. Disponível em: &lt;https://coinmarketcap.com/currencies/bitcoin/historical-data/&gt;. Acesso em: 24 mar. 2024.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Dyhrberg, A.H. 2015. Bitcoin, gold and the dollar: A GARCH volatility analysis.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Finance Research Letters 1-8.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Forbes Digital Assets. 2024. Cryptocurrency Prices, Market Cap and Charts. Disponível em:</w:t>
      </w:r>
    </w:p>
    <w:p w:rsidR="00000000" w:rsidDel="00000000" w:rsidP="00000000" w:rsidRDefault="00000000" w:rsidRPr="00000000" w14:paraId="000000B3">
      <w:pPr>
        <w:spacing w:line="360" w:lineRule="auto"/>
        <w:ind w:right="1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Cryptocurrency Prices, Market Cap and Charts | Forbes Digital Assets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&gt;. Acesso em: 23 mar. 2024.</w:t>
      </w:r>
    </w:p>
    <w:p w:rsidR="00000000" w:rsidDel="00000000" w:rsidP="00000000" w:rsidRDefault="00000000" w:rsidRPr="00000000" w14:paraId="000000B4">
      <w:pPr>
        <w:spacing w:line="360" w:lineRule="auto"/>
        <w:ind w:right="1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right="1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Haber, S.; Stornetta, W.S. 1991. How to time-stamp a digital document. Journal of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Cryptology 3: 99-111. 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Katsiampa, P. 2017. Volatility estimation for Bitcoin: A comparison of GARCH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models. Economics Letters.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Keras. 2024. Keras: Deep Learning for humans. Disponível em: &lt;https://keras.io/&gt;. Acesso em: 24 mar. 2024.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Nakamoto, S. 2008. Bitcoin: A Peer-to-Peer Electronic Cash System. Disponível em: https://bitcoin.org/bitcoin.pdf. Acesso em: 17 mar. 2024</w:t>
      </w:r>
    </w:p>
    <w:p w:rsidR="00000000" w:rsidDel="00000000" w:rsidP="00000000" w:rsidRDefault="00000000" w:rsidRPr="00000000" w14:paraId="000000BE">
      <w:pPr>
        <w:spacing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Nedved, M.; Krisfoufek, L. 2023. Safe havens for Bitcoin. Finance Research Letters 51.</w:t>
      </w:r>
    </w:p>
    <w:p w:rsidR="00000000" w:rsidDel="00000000" w:rsidP="00000000" w:rsidRDefault="00000000" w:rsidRPr="00000000" w14:paraId="000000C0">
      <w:pPr>
        <w:spacing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Patel, M.M.; Tanwar, S.; Gupta, R.; Kumar, N. 2020. A Deep Learning-based Cryptocurrency Price Prediction Scheme for Financial Institutions. Journal of Information Security and Applications 55.</w:t>
      </w:r>
    </w:p>
    <w:p w:rsidR="00000000" w:rsidDel="00000000" w:rsidP="00000000" w:rsidRDefault="00000000" w:rsidRPr="00000000" w14:paraId="000000C2">
      <w:pPr>
        <w:spacing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Phillip, A.; Chan, J.; Peiris, S. 2017. A new look at Cryptocurrencies.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Economics Letters.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Shen, Z.; Qing, W.; Leatham, D.J. 2020. Bitcoin Return Volatility Forecasting: A Comparative Study between GARCH and RNN. Journal of Risk and Financial Management 14(7): 337.</w:t>
      </w:r>
    </w:p>
    <w:p w:rsidR="00000000" w:rsidDel="00000000" w:rsidP="00000000" w:rsidRDefault="00000000" w:rsidRPr="00000000" w14:paraId="000000C7">
      <w:pPr>
        <w:spacing w:line="36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Shcherbakov, M.; Brebels, A.; Shcherbakova, N.; Tyukov, A.; Janovsky, T.; Kamaev, V. 2013. A survey of forecast error measures. World Applied Sciences Journal 24: 171–176.</w:t>
      </w:r>
    </w:p>
    <w:p w:rsidR="00000000" w:rsidDel="00000000" w:rsidP="00000000" w:rsidRDefault="00000000" w:rsidRPr="00000000" w14:paraId="000000C9">
      <w:pPr>
        <w:spacing w:line="36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Vrankin, H. 2017. Sustainability of bitcoin and blockchains. Current Opinion in Environmental Sustainability 28: 1-9.</w:t>
      </w:r>
    </w:p>
    <w:p w:rsidR="00000000" w:rsidDel="00000000" w:rsidP="00000000" w:rsidRDefault="00000000" w:rsidRPr="00000000" w14:paraId="000000C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52" w:lineRule="auto"/>
        <w:ind w:right="1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8" w:top="1418" w:left="1418" w:right="1418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968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Projeto de Pesquisa – Trabalho de Conclusão de Curso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5100320</wp:posOffset>
          </wp:positionH>
          <wp:positionV relativeFrom="paragraph">
            <wp:posOffset>-38098</wp:posOffset>
          </wp:positionV>
          <wp:extent cx="673100" cy="2825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282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7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57626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20" y="3780000"/>
                        <a:ext cx="57531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57626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bes.com/digital-assets/crypto-prices/?sh=38fc4e422478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