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Projeto de Pesquisa e Planejamento de Atividades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390"/>
        <w:gridCol w:w="2693"/>
        <w:gridCol w:w="1984"/>
        <w:tblGridChange w:id="0">
          <w:tblGrid>
            <w:gridCol w:w="4390"/>
            <w:gridCol w:w="2693"/>
            <w:gridCol w:w="198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Aluno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Gustavo Menezes de Sirqueira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 início curso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__/__/____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Orientador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Daniel Alvarez Firmino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Defesa em: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Mês/Ano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Curso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MBA Data Science e Analytics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Modalidade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Distância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231</w:t>
            </w:r>
          </w:p>
        </w:tc>
      </w:tr>
    </w:tbl>
    <w:p w:rsidR="00000000" w:rsidDel="00000000" w:rsidP="00000000" w:rsidRDefault="00000000" w:rsidRPr="00000000" w14:paraId="0000000D">
      <w:pPr>
        <w:spacing w:after="8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40" w:before="0" w:lineRule="auto"/>
        <w:ind w:left="357" w:hanging="357"/>
        <w:rPr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Título do projeto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(Inicial)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0" w:before="0" w:lineRule="auto"/>
        <w:ind w:left="357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Comparação de Modelos de previsão de séries temporais aplicados a criptomoedas</w:t>
      </w:r>
    </w:p>
    <w:p w:rsidR="00000000" w:rsidDel="00000000" w:rsidP="00000000" w:rsidRDefault="00000000" w:rsidRPr="00000000" w14:paraId="00000011">
      <w:pPr>
        <w:spacing w:after="40" w:before="0" w:lineRule="auto"/>
        <w:ind w:left="357" w:firstLine="0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se realizar transações entre 2 ou mais agentes no modelo financeiro tradicional, é necessária a existência de um intermediador, que por sua vez necessita de uma taxa para realizar a transação. Esse intermediário, usualmente bancos e instituições financeiras, mostra-se necessário para garantir a confiança, segurança e validade da transação. A moeda com a qual essa operação é realizada também precisa ser emitida por um órgão centralizador, como um banco central. Essa moeda muitas vezes tem seu lastro baseado em ouro ou confiança. Para abordar a questão mencionada acima, é preciso então a criação de um sistema que possa garantir transações seguras, confiáveis e válidas sem a necessidade de um intermediador e de um emissor centralizado(Patel et al., 2020; Vranken, 2017).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 2008 é proposto, no artigo “Bitcoin: A Peer-to-Peer Electronic Cash System” (Nakamoto, 2008), um conceito de moeda digital finita e transação online sem a necessidade de um intermediador, distribuído na rede e apoiado na tecnologia de “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blockchain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”, que por sua vez é baseada no artigo “How to time-stamp a digital document” (Haber e Stornetta, 1991). A tecnologia de transação atua como uma “caderneta pública” que é capaz de registrar movimentações em blocos, que por sua vez são encadeados a outros blocos gerados anteriormente, dando origem ao nome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blockchain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cadeia de blocos. Devido ao caráter público da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blockchain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existe transparência em suas transações. Um processo baseado em mecanismos de consenso e hash condicionados chamado de “mineração” garante que as transações válidas sejam adicionadas à corrente e, consequentemente, contabilizadas, além de garantir rastreabilidade e histórico. A mineração é realizada dentro dos nodos da rede e é um processo computacionalmente exigente e necessário para o funcionamento do sistema, gerando a necessidade de uma compensação aos agentes mineradores. Essa compensação é gerada pelo próprio sistema, e corresponde a uma quantia de bitcoin baseada na quantidade de bitcoins existentes na rede. Dessa forma, a cada 210000 blocos o sistema diminui a recompensa na metade, o que é chamado de “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halving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”, tornando a operação de mineração gradativamente menos rentável (Vranken, 2017).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Desde o surgimento do bitcoin, o interesse pelas criptomoedas cresceu consideravelmente e atraiu a atenção de investidores e empresas. Sua tecnologia deu origem a outras criptomoedas, com enfoques diversos, variando na criação de moedas focadas em transações dentro de redes específicas até a criação de redes especializadas em transações, seguro 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supply chain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no campo da agricultura (Shen et al., 2020). 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mercado de criptomoedas corresponde, hoje, março de 2024, a 2,6 trilhões de dólares, sendo aproximadamente metade desse valor, 1,28 trilhões de dólares, correspondente ao bitcoin (Forbes Digital Assets, 2024). Alguns dos fatores determinantes para essa relevância foi a possibilidade da utilização do bitcoin na diversificação em portfólios e o potencial de geração de lucro, desvencilhado da centralização governamental. Entretanto, um maior potencial de lucro vem acompanhado de maior risco, e consequentemente maior potencial de perdas, em especial com posições de longo prazo, indicando uma alta volatilidade por parte do criptoativo (Nedvd e Krisfoufek, 2023; Shen et al., 2020).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previsão financeira desempenha um papel importante no mercado financeiro e no campo da economia, e é frequentemente utilizada na modelagem de ativos de alta volatilidade, na gestão de riscos e como ferramenta auxiliar na tomada de decisões. Alguns dos modelos mais comuns para esse fim são ARIMA para a modelagem e previsão da média e GARCH para lidar com a volatilidade, amplamente utilizados em artigos sobre a modelagem com retornos de bitcoin (Dyhrberg, 2015; Katsiampa, 2017; Phillip et al., 2017; Shen et al., 2020). Entretanto, a utilização de modelos de aprendizado de máquina não é tão amplamente difundida neste meio. Redes neurais recorrentes são capazes de aprender dependências de longo prazo em séries temporais, identificam características lineares e não lineares, apresentam maior sensibilidade a flutuações no tempo e podem preservar mais informação temporal durante o treino quando comparadas aos métodos econométricos tradicionais (Shen et al., 2020).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Levantados todos esses pontos, torna-se desejável a utilização de modelos capazes de lidar com a natureza imprevisível do bitcoin e que possuam características diferentes das já observadas em modelos comuns a literatura, tornando justificada a construção de um comparativo entre redes neurais recorrentes, em especial, GRU e LTSM, que possuem capacidade de lidar com o problema do gradiente desvanecente, e um modelo econométrico tradicional ARIMA-GARCH. Dessa forma, o presente trabalho busca identificar qual dos modelos apresentará uma melhor performance de previsão de retornos do bitcoin.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0" w:before="0" w:lineRule="auto"/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trabalho tem como objetivo determinar se os modelos de redes neurais recorrentes LSTM e GRU são capazes de apresentar melhor desempenho preditivo sobre os retornos de bitcoin quando comparados ao modelo tradicional ARIMA-GARCH.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Material e Métodos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0" w:before="0" w:lineRule="auto"/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(Descrever o(s) método(s) de coleta de dados e a(s) ferramenta(s) de análise a ser(em) utilizada(s) no trabalho de conclusão de curso, ou seja, como será a condução da pesquisa e a forma de obtenção dos resultados, por exemplo, fontes de dados, técnicas, procedimentos, índices, entre outros) 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obtenção dos dados das criptomoedas, será utilizada a biblioteca em python yfinance, que é capaz de apresentar dados de ativos financeiros e criptomoedas. As criptomoedas utilizadas serão o Bitcoin, Etherium, Cardano, Solana, Binance Coin e USD Coin, essa última possuindo propriedades de interesse, como sua paridade com o dólar, servindo assim de comparativo. O Período analisado será de 5 anos para todas as criptomoedas. Os dados dos 5 anos serão utilizados para treinar os modelos, sendo divididos em “datasets” de treino, validação e teste, e uma previsão para os próximos 7 dias será realizada e comparada com os dados originais, utilizando-se métodos de mensuração de erro, como RMSE, MSE e MAE.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modelos utilizados serão: Gated Recurrent Unit ou GRU (Bengio et al., 2014)., Long Short Term Memory ou LSTM (Hochreiter e Schmidhuber, 1997), e ARIMA + GARCH (AutoRegressive Integrated Moving Averages + Generalized AutoRegressive Conditional Heteroskedasticity) (Bollorslev, 1986) , este último incluído como forma de comparação entre modelos tradicionais de previsão de ativos financeiros e redes neurais.O modelo que englobará ARIMA + GARCH será determinado utilizando-se de métricas de AIC, BIC e da verificação de PACF e ACF de seus resíduos normalizados, bem como da significância de seus parâmetros.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Já para os modelos GRU e LSTM, será utilizada a estratégia de “grid search” a fim de encontrar os melhores hiperparâmetros que minimizem as métricas de desempenho.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Resultados Esperados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40" w:before="0" w:lineRule="auto"/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(Descrever os resultados que são esperados após a realização da coleta e análise dos dados, ou seja, quais resultados são esperados ao final da pesquisa)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resultados esperados são a construção de um comparativo conciso entre os modelos selecionados, levando-se em consideração uma mensuração dos mesmos de maneira capaz de determinar a performance de cada um dos modelos de forma mensurável, e permitindo o levantamento dos pontos fortes de cada um aplicados sobre cada criptoativo, assim como a determinação de qual modelo, dada a estimação, apresenta melhores resultados de previsão.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40" w:before="0" w:lineRule="auto"/>
        <w:ind w:left="357" w:hanging="357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Cronograma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40" w:before="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8.0" w:type="dxa"/>
        <w:jc w:val="left"/>
        <w:tblLayout w:type="fixed"/>
        <w:tblLook w:val="0400"/>
      </w:tblPr>
      <w:tblGrid>
        <w:gridCol w:w="3207"/>
        <w:gridCol w:w="617"/>
        <w:gridCol w:w="602"/>
        <w:gridCol w:w="596"/>
        <w:gridCol w:w="600"/>
        <w:gridCol w:w="599"/>
        <w:gridCol w:w="582"/>
        <w:gridCol w:w="610"/>
        <w:gridCol w:w="521"/>
        <w:gridCol w:w="569"/>
        <w:gridCol w:w="565"/>
        <w:tblGridChange w:id="0">
          <w:tblGrid>
            <w:gridCol w:w="3207"/>
            <w:gridCol w:w="617"/>
            <w:gridCol w:w="602"/>
            <w:gridCol w:w="596"/>
            <w:gridCol w:w="600"/>
            <w:gridCol w:w="599"/>
            <w:gridCol w:w="582"/>
            <w:gridCol w:w="610"/>
            <w:gridCol w:w="521"/>
            <w:gridCol w:w="569"/>
            <w:gridCol w:w="56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Atividades planejadas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Mês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Construção do projeto de pesquisa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Construção do modelo econométrico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Construção dos modelos em deep learning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dos resultados preliminares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Desenvolvimento de resultados e conclusão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Correções referentes a revisão final do orientador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da versão escrita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Apresentação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c5e0b3" w:val="clear"/>
          <w:rtl w:val="0"/>
        </w:rPr>
        <w:t xml:space="preserve">Projeto de Pesquisa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sz w:val="18"/>
          <w:szCs w:val="18"/>
          <w:shd w:fill="d9e2f3" w:val="clear"/>
          <w:rtl w:val="0"/>
        </w:rPr>
        <w:t xml:space="preserve">Resultados Preliminares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sz w:val="18"/>
          <w:szCs w:val="18"/>
          <w:shd w:fill="ffe599" w:val="clear"/>
          <w:rtl w:val="0"/>
        </w:rPr>
        <w:t xml:space="preserve">Entrega do Trabalho de Conclusão de Curso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sz w:val="18"/>
          <w:szCs w:val="18"/>
          <w:shd w:fill="f7caac" w:val="clear"/>
          <w:rtl w:val="0"/>
        </w:rPr>
        <w:t xml:space="preserve">Entrega da Apresentação da Defesa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ind w:left="36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Dyhrberg, Anne Haubo. 2015. Bitcoin, gold and the dollar: A GARCH volatility analysis.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Finance Research Letters 1-8.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Forbes Digital Assets. 2024. Cryptocurrency Prices, Market Cap and Charts. Disponível 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right="14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Cryptocurrency Prices, Market Cap and Charts | Forbes Digital Assets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&gt;. Acesso em: 23 mar. 2024.</w:t>
      </w:r>
    </w:p>
    <w:p w:rsidR="00000000" w:rsidDel="00000000" w:rsidP="00000000" w:rsidRDefault="00000000" w:rsidRPr="00000000" w14:paraId="000000B4">
      <w:pPr>
        <w:spacing w:line="360" w:lineRule="auto"/>
        <w:ind w:right="14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right="14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Haber, Stuart; Stornetta, W. Scott. 1991. How to time-stamp a digital document. Journal of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Cryptology 3: 99-111. 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Katsiampa, Paraskevi. 2017. Volatility estimation for Bitcoin: A comparison of GARCH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models. Economics Letters.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Nakamoto, Satoshi. 2008. Bitcoin: A Peer-to-Peer Electronic Cash System. Disponível em: https://bitcoin.org/bitcoin.pdf. Acesso em: 17 mar. 2024</w:t>
      </w:r>
    </w:p>
    <w:p w:rsidR="00000000" w:rsidDel="00000000" w:rsidP="00000000" w:rsidRDefault="00000000" w:rsidRPr="00000000" w14:paraId="000000BC">
      <w:pPr>
        <w:spacing w:line="36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Phillip, Andrew; Chan, Jennifer; Peiris, Shelton. 2017. A new look at Cryptocurrencies.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Economics Letters.</w:t>
      </w:r>
    </w:p>
    <w:p w:rsidR="00000000" w:rsidDel="00000000" w:rsidP="00000000" w:rsidRDefault="00000000" w:rsidRPr="00000000" w14:paraId="000000BF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52" w:lineRule="auto"/>
        <w:ind w:right="14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8" w:top="1418" w:left="1418" w:right="1418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968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Projeto de Pesquisa – Trabalho de Conclusão de Curso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5100320</wp:posOffset>
          </wp:positionH>
          <wp:positionV relativeFrom="paragraph">
            <wp:posOffset>-38098</wp:posOffset>
          </wp:positionV>
          <wp:extent cx="673100" cy="28257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100" cy="2825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78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76200</wp:posOffset>
              </wp:positionV>
              <wp:extent cx="5762625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69420" y="3780000"/>
                        <a:ext cx="575316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595959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76200</wp:posOffset>
              </wp:positionV>
              <wp:extent cx="5762625" cy="222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orbes.com/digital-assets/crypto-prices/?sh=38fc4e422478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