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965FBC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</w:t>
      </w:r>
      <w:r>
        <w:rPr>
          <w:sz w:val="36"/>
          <w:szCs w:val="36"/>
        </w:rPr>
        <w:t>周报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93"/>
        <w:gridCol w:w="1842"/>
        <w:gridCol w:w="1560"/>
        <w:gridCol w:w="3827"/>
      </w:tblGrid>
      <w:tr w14:paraId="2699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68" w:type="dxa"/>
            <w:gridSpan w:val="2"/>
          </w:tcPr>
          <w:p w14:paraId="5879A5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1842" w:type="dxa"/>
          </w:tcPr>
          <w:p w14:paraId="4DD81B67"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郝丹萌</w:t>
            </w:r>
          </w:p>
        </w:tc>
        <w:tc>
          <w:tcPr>
            <w:tcW w:w="1560" w:type="dxa"/>
          </w:tcPr>
          <w:p w14:paraId="76A00CCA"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时间范围</w:t>
            </w:r>
          </w:p>
        </w:tc>
        <w:tc>
          <w:tcPr>
            <w:tcW w:w="3827" w:type="dxa"/>
          </w:tcPr>
          <w:p w14:paraId="7517A16F"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2024.11.25-2024.12.01</w:t>
            </w:r>
          </w:p>
        </w:tc>
      </w:tr>
      <w:tr w14:paraId="2237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68" w:type="dxa"/>
            <w:gridSpan w:val="2"/>
          </w:tcPr>
          <w:p w14:paraId="580E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周次</w:t>
            </w:r>
          </w:p>
        </w:tc>
        <w:tc>
          <w:tcPr>
            <w:tcW w:w="1842" w:type="dxa"/>
          </w:tcPr>
          <w:p w14:paraId="34333CE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七</w:t>
            </w:r>
            <w:r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1560" w:type="dxa"/>
          </w:tcPr>
          <w:p w14:paraId="2CB39F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研究方向</w:t>
            </w:r>
          </w:p>
        </w:tc>
        <w:tc>
          <w:tcPr>
            <w:tcW w:w="3827" w:type="dxa"/>
            <w:vAlign w:val="center"/>
          </w:tcPr>
          <w:p w14:paraId="01FB56A3"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大模型高效参数微调</w:t>
            </w:r>
          </w:p>
        </w:tc>
      </w:tr>
      <w:tr w14:paraId="30ED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5" w:hRule="exact"/>
        </w:trPr>
        <w:tc>
          <w:tcPr>
            <w:tcW w:w="675" w:type="dxa"/>
          </w:tcPr>
          <w:p w14:paraId="3E1961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本周完成工作</w:t>
            </w:r>
          </w:p>
        </w:tc>
        <w:tc>
          <w:tcPr>
            <w:tcW w:w="8222" w:type="dxa"/>
            <w:gridSpan w:val="4"/>
            <w:vAlign w:val="top"/>
          </w:tcPr>
          <w:p w14:paraId="55B5F4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看与模型微调相关的课程。</w:t>
            </w:r>
          </w:p>
          <w:p w14:paraId="3E5C04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继续学习了与大模型优化内容相关的课程，有关大规模预训练模型的优化技术，如梯度裁剪、学习率调度和分布式训练策略。</w:t>
            </w:r>
          </w:p>
          <w:p w14:paraId="666484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阅读AdaLoRA 的论文与源码。</w:t>
            </w:r>
          </w:p>
          <w:p w14:paraId="3A5D8B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阅读并理解了 AdaLoRA 的相关论文及其实现代码。</w:t>
            </w:r>
          </w:p>
          <w:p w14:paraId="0CB006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在少量数据集上实现了 AdaLoRA 微调。</w:t>
            </w:r>
          </w:p>
          <w:p w14:paraId="4EB329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学习学习率、批次大小、训练周期等超参数对训练效果的影响。</w:t>
            </w:r>
          </w:p>
          <w:p w14:paraId="4AC0D3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lef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  <w:p w14:paraId="70FD7776"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 w14:paraId="21CF29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left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  <w:tr w14:paraId="7FE68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7" w:hRule="atLeast"/>
        </w:trPr>
        <w:tc>
          <w:tcPr>
            <w:tcW w:w="675" w:type="dxa"/>
            <w:shd w:val="clear" w:color="auto" w:fill="auto"/>
          </w:tcPr>
          <w:p w14:paraId="1E43FE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</w:t>
            </w:r>
          </w:p>
          <w:p w14:paraId="3199A49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问题汇报</w:t>
            </w:r>
          </w:p>
        </w:tc>
        <w:tc>
          <w:tcPr>
            <w:tcW w:w="8222" w:type="dxa"/>
            <w:gridSpan w:val="4"/>
          </w:tcPr>
          <w:p w14:paraId="2EC0A4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在实现 AdaLoRA 微调时，部分超参数的选择仍存在不确定性，特别是在小数据集上的表现不如预期。需要进一步探索适用于该任务的超参数配置。</w:t>
            </w:r>
          </w:p>
          <w:p w14:paraId="2128D9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在与 QLora 的对比实验中，虽然 AdaLoRA 在某些指标上略有优势，但收敛速度和稳定性仍有提升空间，超参数的调整需要更加细致，以达到更好的平衡。</w:t>
            </w:r>
          </w:p>
          <w:p w14:paraId="61DF71F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96" w:beforeAutospacing="0" w:after="0" w:afterAutospacing="1"/>
              <w:rPr>
                <w:rFonts w:hint="default" w:ascii="Times New Roman" w:hAnsi="Times New Roman" w:eastAsia="宋体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对 AdaLoRA 的一些实现细节还不完全理解，计划通过进一步分析代码和论文，解决这些问题。</w:t>
            </w:r>
          </w:p>
        </w:tc>
      </w:tr>
      <w:tr w14:paraId="49D87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675" w:type="dxa"/>
            <w:shd w:val="clear" w:color="auto" w:fill="auto"/>
          </w:tcPr>
          <w:p w14:paraId="4A9E7AB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下周工作计划</w:t>
            </w:r>
          </w:p>
        </w:tc>
        <w:tc>
          <w:tcPr>
            <w:tcW w:w="8222" w:type="dxa"/>
            <w:gridSpan w:val="4"/>
          </w:tcPr>
          <w:p w14:paraId="237D9C90"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1、看模型微调的课程。</w:t>
            </w:r>
          </w:p>
          <w:p w14:paraId="00F5712B"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2、学习prefix tuning和quantization相关知识。</w:t>
            </w:r>
            <w:bookmarkStart w:id="0" w:name="_GoBack"/>
            <w:bookmarkEnd w:id="0"/>
          </w:p>
        </w:tc>
      </w:tr>
    </w:tbl>
    <w:p w14:paraId="3F7A7948">
      <w:pPr>
        <w:spacing w:before="156" w:beforeLines="50"/>
        <w:jc w:val="center"/>
        <w:rPr>
          <w:rFonts w:hint="eastAsia"/>
          <w:sz w:val="36"/>
          <w:szCs w:val="36"/>
        </w:rPr>
      </w:pPr>
    </w:p>
    <w:p w14:paraId="110B0D41">
      <w:pPr>
        <w:spacing w:before="156" w:beforeLine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学习内容笔记</w:t>
      </w:r>
    </w:p>
    <w:p w14:paraId="010020F3">
      <w:pPr>
        <w:spacing w:before="156" w:beforeLines="50"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机器学习</w:t>
      </w:r>
      <w:r>
        <w:rPr>
          <w:rFonts w:hint="eastAsia"/>
          <w:sz w:val="28"/>
          <w:szCs w:val="28"/>
        </w:rPr>
        <w:t>相关笔记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机器学习</w:t>
      </w:r>
      <w:r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  <w:lang w:val="en-US" w:eastAsia="zh-CN"/>
        </w:rPr>
        <w:t>代码练习：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sz w:val="28"/>
          <w:szCs w:val="28"/>
        </w:rPr>
        <w:instrText xml:space="preserve"> HYPERLINK "https://github.com/Meng592/LearningNotes/tree/master" </w:instrTex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separate"/>
      </w:r>
      <w:r>
        <w:rPr>
          <w:rStyle w:val="11"/>
          <w:rFonts w:hint="default" w:ascii="Times New Roman" w:hAnsi="Times New Roman" w:eastAsia="宋体" w:cs="Times New Roman"/>
          <w:sz w:val="28"/>
          <w:szCs w:val="28"/>
        </w:rPr>
        <w:t>Meng592/LearningNotes at master</w:t>
      </w:r>
      <w:r>
        <w:rPr>
          <w:rFonts w:hint="default" w:ascii="Times New Roman" w:hAnsi="Times New Roman" w:eastAsia="宋体" w:cs="Times New Roman"/>
          <w:sz w:val="28"/>
          <w:szCs w:val="28"/>
        </w:rPr>
        <w:fldChar w:fldCharType="end"/>
      </w:r>
    </w:p>
    <w:p w14:paraId="267F8C2E">
      <w:pPr>
        <w:spacing w:before="156" w:beforeLines="5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object>
          <v:shape id="_x0000_i1025" o:spt="75" type="#_x0000_t75" style="height:50.2pt;width:127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 w14:paraId="0BE69646">
      <w:pPr>
        <w:spacing w:before="156" w:beforeLines="50"/>
        <w:rPr>
          <w:rFonts w:hint="default" w:eastAsia="宋体"/>
          <w:sz w:val="28"/>
          <w:szCs w:val="28"/>
          <w:lang w:val="en-US" w:eastAsia="zh-CN"/>
        </w:rPr>
      </w:pPr>
    </w:p>
    <w:p w14:paraId="5C8D249B">
      <w:pPr>
        <w:spacing w:before="156" w:beforeLines="50"/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BD1477"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D17CF"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8D17CF"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CC331"/>
    <w:multiLevelType w:val="singleLevel"/>
    <w:tmpl w:val="EC3CC3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AFBA27"/>
    <w:multiLevelType w:val="singleLevel"/>
    <w:tmpl w:val="22AFBA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lYWU1NWJkYzg0NTQ3NDBlNzhkODk3NTM2M2QzMDgifQ=="/>
  </w:docVars>
  <w:rsids>
    <w:rsidRoot w:val="002C0222"/>
    <w:rsid w:val="00000438"/>
    <w:rsid w:val="00011055"/>
    <w:rsid w:val="00041DBB"/>
    <w:rsid w:val="00084E32"/>
    <w:rsid w:val="000A687D"/>
    <w:rsid w:val="000B540A"/>
    <w:rsid w:val="000C745E"/>
    <w:rsid w:val="000D5084"/>
    <w:rsid w:val="000E617C"/>
    <w:rsid w:val="000F03B3"/>
    <w:rsid w:val="00137694"/>
    <w:rsid w:val="001842E4"/>
    <w:rsid w:val="0021080E"/>
    <w:rsid w:val="00230D05"/>
    <w:rsid w:val="002C0222"/>
    <w:rsid w:val="002C31BB"/>
    <w:rsid w:val="002D6D0E"/>
    <w:rsid w:val="003234BD"/>
    <w:rsid w:val="0033637B"/>
    <w:rsid w:val="00382908"/>
    <w:rsid w:val="00390F15"/>
    <w:rsid w:val="003B3D16"/>
    <w:rsid w:val="003D72B5"/>
    <w:rsid w:val="003F277F"/>
    <w:rsid w:val="00444178"/>
    <w:rsid w:val="004A253A"/>
    <w:rsid w:val="004C3EA5"/>
    <w:rsid w:val="004D51B7"/>
    <w:rsid w:val="0050424A"/>
    <w:rsid w:val="00511224"/>
    <w:rsid w:val="00514CB8"/>
    <w:rsid w:val="00554D9B"/>
    <w:rsid w:val="005575F0"/>
    <w:rsid w:val="00567A7C"/>
    <w:rsid w:val="005B527C"/>
    <w:rsid w:val="005E1771"/>
    <w:rsid w:val="005E2D7A"/>
    <w:rsid w:val="00621702"/>
    <w:rsid w:val="00663832"/>
    <w:rsid w:val="00676F77"/>
    <w:rsid w:val="006851BA"/>
    <w:rsid w:val="006C2CBD"/>
    <w:rsid w:val="0072344B"/>
    <w:rsid w:val="007365FA"/>
    <w:rsid w:val="00747E4A"/>
    <w:rsid w:val="007566E5"/>
    <w:rsid w:val="007B11FE"/>
    <w:rsid w:val="007B6FF0"/>
    <w:rsid w:val="007B71A3"/>
    <w:rsid w:val="007C3FFD"/>
    <w:rsid w:val="00821DED"/>
    <w:rsid w:val="008524F7"/>
    <w:rsid w:val="00860008"/>
    <w:rsid w:val="00885363"/>
    <w:rsid w:val="008A5C33"/>
    <w:rsid w:val="00915D46"/>
    <w:rsid w:val="00957165"/>
    <w:rsid w:val="0098058B"/>
    <w:rsid w:val="00990860"/>
    <w:rsid w:val="00990CFC"/>
    <w:rsid w:val="009B1612"/>
    <w:rsid w:val="009D7DE6"/>
    <w:rsid w:val="00A01067"/>
    <w:rsid w:val="00A50D48"/>
    <w:rsid w:val="00A54C4C"/>
    <w:rsid w:val="00A96246"/>
    <w:rsid w:val="00AB5F26"/>
    <w:rsid w:val="00B46EE9"/>
    <w:rsid w:val="00B53E7A"/>
    <w:rsid w:val="00BB08FF"/>
    <w:rsid w:val="00BF14B9"/>
    <w:rsid w:val="00C51B42"/>
    <w:rsid w:val="00C551B8"/>
    <w:rsid w:val="00C84D29"/>
    <w:rsid w:val="00C86A53"/>
    <w:rsid w:val="00C9179A"/>
    <w:rsid w:val="00CE1D1D"/>
    <w:rsid w:val="00CF0779"/>
    <w:rsid w:val="00D33663"/>
    <w:rsid w:val="00D66B64"/>
    <w:rsid w:val="00D70F52"/>
    <w:rsid w:val="00DA379C"/>
    <w:rsid w:val="00DA64C4"/>
    <w:rsid w:val="00DD0025"/>
    <w:rsid w:val="00DE7D9E"/>
    <w:rsid w:val="00E268D8"/>
    <w:rsid w:val="00E7571C"/>
    <w:rsid w:val="00EB151E"/>
    <w:rsid w:val="00EB2882"/>
    <w:rsid w:val="00F01BE6"/>
    <w:rsid w:val="00F07151"/>
    <w:rsid w:val="00F700D4"/>
    <w:rsid w:val="00FC3BAC"/>
    <w:rsid w:val="00FC5419"/>
    <w:rsid w:val="00FC5A36"/>
    <w:rsid w:val="0147338A"/>
    <w:rsid w:val="0C195762"/>
    <w:rsid w:val="10286F92"/>
    <w:rsid w:val="15CD6BF5"/>
    <w:rsid w:val="16F60A1D"/>
    <w:rsid w:val="1DD1527F"/>
    <w:rsid w:val="1FB46BF9"/>
    <w:rsid w:val="248F1692"/>
    <w:rsid w:val="25232561"/>
    <w:rsid w:val="2ABE2B6F"/>
    <w:rsid w:val="2DD0309C"/>
    <w:rsid w:val="2E6D1059"/>
    <w:rsid w:val="33871235"/>
    <w:rsid w:val="347B3867"/>
    <w:rsid w:val="404646E8"/>
    <w:rsid w:val="46420F69"/>
    <w:rsid w:val="4D76073E"/>
    <w:rsid w:val="55673757"/>
    <w:rsid w:val="5DB7429C"/>
    <w:rsid w:val="5DE1566A"/>
    <w:rsid w:val="64DD3107"/>
    <w:rsid w:val="656D7ADB"/>
    <w:rsid w:val="68CF7176"/>
    <w:rsid w:val="68F95D32"/>
    <w:rsid w:val="73902D92"/>
    <w:rsid w:val="7C6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paragraph" w:customStyle="1" w:styleId="16">
    <w:name w:val="列表段落1"/>
    <w:basedOn w:val="1"/>
    <w:qFormat/>
    <w:uiPriority w:val="99"/>
    <w:pPr>
      <w:ind w:firstLine="420"/>
    </w:pPr>
  </w:style>
  <w:style w:type="character" w:customStyle="1" w:styleId="17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未处理的提及2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378</Words>
  <Characters>464</Characters>
  <Lines>10</Lines>
  <Paragraphs>2</Paragraphs>
  <TotalTime>188</TotalTime>
  <ScaleCrop>false</ScaleCrop>
  <LinksUpToDate>false</LinksUpToDate>
  <CharactersWithSpaces>479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2023-03-12T11:30:00Z</dcterms:created>
  <dc:creator>Tianran Liu</dc:creator>
  <cp:lastModifiedBy>suaishuai</cp:lastModifiedBy>
  <cp:lastPrinted>2411-12-31T15:59:00Z</cp:lastPrinted>
  <dcterms:modified xsi:type="dcterms:W3CDTF">2024-12-01T12:12:26Z</dcterms:modified>
  <dc:title>工作周报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48BA2C0D400B4AB0ACABBF4A41B5A7FF_13</vt:lpwstr>
  </property>
</Properties>
</file>