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图深度学习模型软件使用手册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该软件主要用于解决图神经网络在地质学成矿预测等方面的问题，为相关人员提供模型构建和数据分析上的便利。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目前支持GCN和GAT两种图神经网络模型，同时提供强大的数据可视化和分析功能（包括散点式可视化和区域式可视化）。此外，该软件将模型构建、数据预处理等部分的代码编写转换成窗口互交模式，能够让用户快速上手进行图神经网络模型的搭建和后续工作，极大地降低了该技术的使用门槛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对于已保存的对应格式的数据和模型，软件也支持一键导入，无需重新进行数据划分等数据预处理操作，无需重新训练模型。这在很大程度上节省了用户的时间和精力。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快速入门：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启动软件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双击压缩包中的GModel.exe可执行文件，启动软件：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76800" cy="2226945"/>
            <wp:effectExtent l="0" t="0" r="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导入图数据: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点击左上角按钮栏的第一个按钮，进行数据导入，可以导入Excel格式的图数据或pth格式的图数据：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64934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0500" cy="337756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选中图数据：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3.1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.</w:t>
      </w:r>
      <w:r>
        <w:rPr>
          <w:rFonts w:hint="eastAsia"/>
          <w:lang w:val="en-US" w:eastAsia="zh-CN"/>
        </w:rPr>
        <w:t>导入图数据后，会在左上角显示文件名。单击该文件名，使左侧的□变成√，表示打开该文件，同时会在右侧按钮栏中显示该文件名：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3.2.</w:t>
      </w:r>
      <w:r>
        <w:rPr>
          <w:rFonts w:hint="eastAsia"/>
          <w:lang w:val="en-US" w:eastAsia="zh-CN"/>
        </w:rPr>
        <w:t>点击右侧按钮栏中的对应按钮，即可在下方显示该文件中的内容，同时也表示选中了该文件数据，后续的所有操作将针对该文件的数据进行：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划分数据集：</w:t>
      </w:r>
    </w:p>
    <w:p>
      <w:pPr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单击左上角按钮栏中的第二个按钮，进行数据集的划分。将自动划分为训练集和验证集；</w:t>
      </w:r>
    </w:p>
    <w:p>
      <w:pPr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集为上半图的节点，从上半图的正负样本中选择数量较少的样本的数量作为标准数量n，从正负样本中均分别随机选取0.8*n个节点组成训练集；验证集为下半图的节点，选点操作同理。），数据集划分完成后会提示是否保存副本（Excel）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模型设置及训练：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5.1.</w:t>
      </w:r>
      <w:r>
        <w:rPr>
          <w:rFonts w:hint="eastAsia"/>
          <w:lang w:val="en-US" w:eastAsia="zh-CN"/>
        </w:rPr>
        <w:t>点击左上角按钮栏中的‘GCN’字样的按钮，选择GCN模型进行参数配置：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添加底部图层：可在最后面添加一层卷积层；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删除底部图层：可以删除最后一层卷积层：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第一层（最上面）卷积层：输入维度必须与节点的特征维度相同，输出维度自定义；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第二层（此处为最后一层）卷积层：输入维度必须与第一层节点的输出维度一致，输出维度（由于是最后一层）目前仅支持2维，表示2分类任务；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dropout层：即随机失活，Dropout是一种常用的正则化方法，用于减少神经网络的过拟合现象。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589020"/>
            <wp:effectExtent l="0" t="0" r="139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5.2.</w:t>
      </w:r>
      <w:r>
        <w:rPr>
          <w:rFonts w:hint="eastAsia"/>
          <w:lang w:val="en-US" w:eastAsia="zh-CN"/>
        </w:rPr>
        <w:t>GCN模型配置好后，点击‘确定’进入超参数的配置环节：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优化器：目前可选Adam和SGD优化器；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损失函数：目前可选交叉损失函数和负对数似然损失函数；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学习率：模型学习新特征的速度，值越大表示速度越快；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正则化系数：用于防止过拟合，值越大防止过拟合能力越强；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运行设备：默认使用CPU进行计算，也可选择使用GPU加速；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临界距离：判断相邻节点，用于构建邻接矩阵；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迭代训练次数：设置模型将迭代多少次。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5.3.</w:t>
      </w:r>
      <w:r>
        <w:rPr>
          <w:rFonts w:hint="eastAsia"/>
          <w:lang w:val="en-US" w:eastAsia="zh-CN"/>
        </w:rPr>
        <w:t>超参数设置完成后，点击‘确定’将自动进行参数合法检测，检测通过后即会开始训练模型（若未检测到邻接矩阵，则会自动新建邻接矩阵，此过程所需时间取决于节点个数，且目前无法暂停）：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021965"/>
            <wp:effectExtent l="0" t="0" r="5715" b="10795"/>
            <wp:docPr id="12" name="图片 12" descr="联想截图_2023083122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联想截图_202308312216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5.4.</w:t>
      </w:r>
      <w:r>
        <w:rPr>
          <w:rFonts w:hint="eastAsia"/>
          <w:lang w:val="en-US" w:eastAsia="zh-CN"/>
        </w:rPr>
        <w:t>训练过程中，右侧会实时显示训练损失、训练准确率和验证准确率：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保存最优模型：用于保存训练过程中，训练损失最低的一次的模型参数，保存为pth格式，后续可以进行读取；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保存最终模型：用于保存经过最后一次训练的模型参数，同样为pth格式。成功保存后会有弹窗提示；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保存pth格式数据集：用于保存当前构建的数据集，格式为pth，方便下次使用（可直接读取，不用再次创建邻接矩阵）。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021965"/>
            <wp:effectExtent l="0" t="0" r="5715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8435" cy="1778635"/>
            <wp:effectExtent l="0" t="0" r="14605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模型预测：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6.1.</w:t>
      </w:r>
      <w:r>
        <w:rPr>
          <w:rFonts w:hint="eastAsia"/>
          <w:lang w:val="en-US" w:eastAsia="zh-CN"/>
        </w:rPr>
        <w:t>回到主界面，点击左上角菜单栏中的‘模型预测’菜单中的‘导入模型’选项</w:t>
      </w:r>
      <w:bookmarkStart w:id="0" w:name="_GoBack"/>
      <w:bookmarkEnd w:id="0"/>
      <w:r>
        <w:rPr>
          <w:rFonts w:hint="eastAsia"/>
          <w:lang w:val="en-US" w:eastAsia="zh-CN"/>
        </w:rPr>
        <w:t>，导入之前保存的模型，导入成功后会有弹窗提示：</w:t>
      </w:r>
    </w:p>
    <w:p>
      <w:pPr>
        <w:pStyle w:val="6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500120"/>
            <wp:effectExtent l="0" t="0" r="5715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1675" cy="2148840"/>
            <wp:effectExtent l="0" t="0" r="4445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011680" cy="2153285"/>
            <wp:effectExtent l="0" t="0" r="0" b="1079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6.2.</w:t>
      </w:r>
      <w:r>
        <w:rPr>
          <w:rFonts w:hint="eastAsia"/>
          <w:lang w:val="en-US" w:eastAsia="zh-CN"/>
        </w:rPr>
        <w:t>由于之前已进行了数据处理，软件中已缓存了处理后的数据，所以本次可以直接继续点击‘模型预测’菜单中的‘模型预测’选项，进行模型结果预测。最后会弹出正样本（默认是标记为‘1’的节点）预测结果分布图，可以通过右侧的滑块调整等值线的条数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021965"/>
            <wp:effectExtent l="0" t="0" r="5715" b="1079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6.3.</w:t>
      </w:r>
      <w:r>
        <w:rPr>
          <w:rFonts w:hint="eastAsia"/>
          <w:lang w:val="en-US" w:eastAsia="zh-CN"/>
        </w:rPr>
        <w:t>可以继续点击下方的‘输出预测结果’，将预测结果保存为Excel：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133090"/>
            <wp:effectExtent l="0" t="0" r="4445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数据可视化：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软件提供数据可视化功能，点击主页面的左上角菜单栏中的‘数据处理’菜单，可见‘散点式可视化’和‘区域式可视化’：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散点式可视化</w:t>
      </w:r>
      <w:r>
        <w:rPr>
          <w:rFonts w:hint="eastAsia"/>
          <w:lang w:val="en-US" w:eastAsia="zh-CN"/>
        </w:rPr>
        <w:t>：用于绘制散点式标签图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4504690"/>
            <wp:effectExtent l="0" t="0" r="13970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区域式可视化</w:t>
      </w:r>
      <w:r>
        <w:rPr>
          <w:rFonts w:hint="eastAsia"/>
          <w:lang w:val="en-US" w:eastAsia="zh-CN"/>
        </w:rPr>
        <w:t>：用于绘制连续分布图（如概率图等）：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021965"/>
            <wp:effectExtent l="0" t="0" r="5715" b="1079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已有数据及模型的导入和使用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若已保存有后缀为pth的数据和模型，可分别进行导入：</w:t>
      </w:r>
    </w:p>
    <w:p>
      <w:pPr>
        <w:pStyle w:val="6"/>
        <w:numPr>
          <w:ilvl w:val="0"/>
          <w:numId w:val="6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数据导入：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点击左上角按钮栏中的第一个按钮，在导入界面选择右下角的文件类型为pth类型即可：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879725"/>
            <wp:effectExtent l="0" t="0" r="4445" b="63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模型导入：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点击‘模型预测’菜单中的‘导入模型’选项即可导入pth类型的模型：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769870"/>
            <wp:effectExtent l="0" t="0" r="4445" b="381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script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684C58"/>
    <w:multiLevelType w:val="multilevel"/>
    <w:tmpl w:val="90684C58"/>
    <w:lvl w:ilvl="0" w:tentative="0">
      <w:start w:val="1"/>
      <w:numFmt w:val="decimal"/>
      <w:pStyle w:val="6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  <w:b/>
        <w:bCs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1">
    <w:nsid w:val="A3514992"/>
    <w:multiLevelType w:val="singleLevel"/>
    <w:tmpl w:val="A351499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FCA91A3"/>
    <w:multiLevelType w:val="singleLevel"/>
    <w:tmpl w:val="DFCA91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EA43EE2E"/>
    <w:multiLevelType w:val="singleLevel"/>
    <w:tmpl w:val="EA43EE2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EB7F2DF2"/>
    <w:multiLevelType w:val="singleLevel"/>
    <w:tmpl w:val="EB7F2DF2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C36A388"/>
    <w:multiLevelType w:val="singleLevel"/>
    <w:tmpl w:val="6C36A38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k4NGM5ZjE3ZjdlZWVmM2FiMjViMWY0MWJjZTdiMmIifQ=="/>
  </w:docVars>
  <w:rsids>
    <w:rsidRoot w:val="4D9B7240"/>
    <w:rsid w:val="04D4275A"/>
    <w:rsid w:val="06D25D4A"/>
    <w:rsid w:val="07C25962"/>
    <w:rsid w:val="0D3B1FC4"/>
    <w:rsid w:val="114415F3"/>
    <w:rsid w:val="11926B28"/>
    <w:rsid w:val="1E963356"/>
    <w:rsid w:val="24C279DD"/>
    <w:rsid w:val="25FC502E"/>
    <w:rsid w:val="2BD444D0"/>
    <w:rsid w:val="2DEE20E8"/>
    <w:rsid w:val="329D1E96"/>
    <w:rsid w:val="35951B6D"/>
    <w:rsid w:val="458D460F"/>
    <w:rsid w:val="490E5E1B"/>
    <w:rsid w:val="4D9B7240"/>
    <w:rsid w:val="52EA0054"/>
    <w:rsid w:val="56671D33"/>
    <w:rsid w:val="639C2AFB"/>
    <w:rsid w:val="688D31C4"/>
    <w:rsid w:val="6E2406F3"/>
    <w:rsid w:val="761B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jc w:val="center"/>
      <w:outlineLvl w:val="0"/>
    </w:pPr>
    <w:rPr>
      <w:rFonts w:ascii="Times New Roman" w:hAnsi="Times New Roman" w:cs="宋体"/>
      <w:b/>
      <w:kern w:val="44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jc w:val="left"/>
      <w:outlineLvl w:val="1"/>
    </w:pPr>
    <w:rPr>
      <w:rFonts w:ascii="Times New Roman" w:hAnsi="Times New Roman" w:cs="宋体"/>
      <w:b/>
      <w:bCs/>
      <w:kern w:val="10"/>
      <w:sz w:val="28"/>
      <w:szCs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四号标题"/>
    <w:basedOn w:val="1"/>
    <w:uiPriority w:val="0"/>
    <w:pPr>
      <w:numPr>
        <w:ilvl w:val="0"/>
        <w:numId w:val="1"/>
      </w:numPr>
    </w:pPr>
    <w:rPr>
      <w:b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2023-08-31T13:30:00Z</dcterms:created>
  <dc:creator>梦宝fh</dc:creator>
  <cp:lastModifiedBy>梦宝fh</cp:lastModifiedBy>
  <dcterms:modified xsi:type="dcterms:W3CDTF">2023-09-01T02:36:47Z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A58FCB57E6B34526BF59D6336C12B1DF_11</vt:lpwstr>
  </property>
</Properties>
</file>