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7493" w14:textId="2A0A18C0" w:rsidR="00434E3C" w:rsidRPr="00075414" w:rsidRDefault="003A4FF0">
      <w:pPr>
        <w:rPr>
          <w:rFonts w:ascii="Arial" w:hAnsi="Arial" w:cs="Arial"/>
          <w:lang w:val="en-US"/>
        </w:rPr>
      </w:pPr>
      <w:r w:rsidRPr="00075414">
        <w:rPr>
          <w:rFonts w:ascii="Arial" w:hAnsi="Arial" w:cs="Arial"/>
          <w:lang w:val="en-US"/>
        </w:rPr>
        <w:t xml:space="preserve">Summary of return </w:t>
      </w:r>
    </w:p>
    <w:p w14:paraId="60643A11" w14:textId="0014807C" w:rsidR="003A4FF0" w:rsidRPr="00075414" w:rsidRDefault="003A4FF0">
      <w:pPr>
        <w:rPr>
          <w:rFonts w:ascii="Arial" w:hAnsi="Arial" w:cs="Arial"/>
          <w:lang w:val="en-US"/>
        </w:rPr>
      </w:pPr>
    </w:p>
    <w:p w14:paraId="7D01D759" w14:textId="77777777" w:rsidR="00397ED0" w:rsidRPr="00397ED0" w:rsidRDefault="003A4FF0" w:rsidP="00397ED0">
      <w:pPr>
        <w:pStyle w:val="NormalWeb"/>
        <w:rPr>
          <w:rFonts w:eastAsia="Times New Roman"/>
        </w:rPr>
      </w:pPr>
      <w:r w:rsidRPr="00075414">
        <w:rPr>
          <w:rFonts w:ascii="Arial" w:hAnsi="Arial" w:cs="Arial"/>
          <w:lang w:val="en-US"/>
        </w:rPr>
        <w:t>By investing in education, we can provide alternative pathways for</w:t>
      </w:r>
      <w:r w:rsidR="006D5E5C" w:rsidRPr="00075414">
        <w:rPr>
          <w:rFonts w:ascii="Arial" w:hAnsi="Arial" w:cs="Arial"/>
          <w:lang w:val="en-US"/>
        </w:rPr>
        <w:t xml:space="preserve"> </w:t>
      </w:r>
      <w:commentRangeStart w:id="0"/>
      <w:r w:rsidR="006D5E5C" w:rsidRPr="00075414">
        <w:rPr>
          <w:rFonts w:ascii="Arial" w:hAnsi="Arial" w:cs="Arial"/>
          <w:lang w:val="en-US"/>
        </w:rPr>
        <w:t xml:space="preserve">271 million </w:t>
      </w:r>
      <w:commentRangeEnd w:id="0"/>
      <w:r w:rsidR="006D5E5C" w:rsidRPr="00075414">
        <w:rPr>
          <w:rStyle w:val="CommentReference"/>
          <w:rFonts w:ascii="Arial" w:hAnsi="Arial" w:cs="Arial"/>
        </w:rPr>
        <w:commentReference w:id="0"/>
      </w:r>
      <w:r w:rsidR="006D5E5C" w:rsidRPr="00075414">
        <w:rPr>
          <w:rFonts w:ascii="Arial" w:hAnsi="Arial" w:cs="Arial"/>
          <w:lang w:val="en-US"/>
        </w:rPr>
        <w:t xml:space="preserve">children worldwide. This investment can bring long term benefit of </w:t>
      </w:r>
      <w:commentRangeStart w:id="1"/>
      <w:r w:rsidR="006D5E5C" w:rsidRPr="00075414">
        <w:rPr>
          <w:rFonts w:ascii="Arial" w:hAnsi="Arial" w:cs="Arial"/>
          <w:lang w:val="en-US"/>
        </w:rPr>
        <w:t>1.96 trillion</w:t>
      </w:r>
      <w:commentRangeEnd w:id="1"/>
      <w:r w:rsidR="006D5E5C" w:rsidRPr="00075414">
        <w:rPr>
          <w:rStyle w:val="CommentReference"/>
          <w:rFonts w:ascii="Arial" w:hAnsi="Arial" w:cs="Arial"/>
        </w:rPr>
        <w:commentReference w:id="1"/>
      </w:r>
      <w:r w:rsidR="006D5E5C" w:rsidRPr="00075414">
        <w:rPr>
          <w:rFonts w:ascii="Arial" w:hAnsi="Arial" w:cs="Arial"/>
          <w:lang w:val="en-US"/>
        </w:rPr>
        <w:t xml:space="preserve"> dollar per capital in longtime return</w:t>
      </w:r>
      <w:r w:rsidR="00C753DB" w:rsidRPr="00075414">
        <w:rPr>
          <w:rFonts w:ascii="Arial" w:hAnsi="Arial" w:cs="Arial"/>
          <w:lang w:val="en-US"/>
        </w:rPr>
        <w:t xml:space="preserve"> of increasement in salaries</w:t>
      </w:r>
      <w:r w:rsidR="006D5E5C" w:rsidRPr="00075414">
        <w:rPr>
          <w:rFonts w:ascii="Arial" w:hAnsi="Arial" w:cs="Arial"/>
          <w:lang w:val="en-US"/>
        </w:rPr>
        <w:t xml:space="preserve">, if we assume the initial income before education is half of the GDP for local country. </w:t>
      </w:r>
      <w:r w:rsidR="00C753DB" w:rsidRPr="00075414">
        <w:rPr>
          <w:rFonts w:ascii="Arial" w:hAnsi="Arial" w:cs="Arial"/>
          <w:lang w:val="en-US"/>
        </w:rPr>
        <w:t>Such return of education can provide multiple benefits to individuals and societies. Firstly, these returns help</w:t>
      </w:r>
      <w:commentRangeStart w:id="2"/>
      <w:r w:rsidR="00C753DB" w:rsidRPr="00075414">
        <w:rPr>
          <w:rFonts w:ascii="Arial" w:hAnsi="Arial" w:cs="Arial"/>
          <w:lang w:val="en-US"/>
        </w:rPr>
        <w:t xml:space="preserve"> 121 million </w:t>
      </w:r>
      <w:commentRangeEnd w:id="2"/>
      <w:r w:rsidR="00C753DB" w:rsidRPr="00075414">
        <w:rPr>
          <w:rStyle w:val="CommentReference"/>
          <w:rFonts w:ascii="Arial" w:hAnsi="Arial" w:cs="Arial"/>
        </w:rPr>
        <w:commentReference w:id="2"/>
      </w:r>
      <w:r w:rsidR="00C753DB" w:rsidRPr="00075414">
        <w:rPr>
          <w:rFonts w:ascii="Arial" w:hAnsi="Arial" w:cs="Arial"/>
          <w:lang w:val="en-US"/>
        </w:rPr>
        <w:t>to</w:t>
      </w:r>
      <w:r w:rsidR="00C753DB" w:rsidRPr="00075414">
        <w:rPr>
          <w:rFonts w:ascii="Arial" w:hAnsi="Arial" w:cs="Arial"/>
          <w:lang w:val="en-US"/>
        </w:rPr>
        <w:t xml:space="preserve"> reach the extreme poverty line and become non-poor.</w:t>
      </w:r>
      <w:r w:rsidR="00C753DB" w:rsidRPr="00075414">
        <w:rPr>
          <w:rFonts w:ascii="Arial" w:hAnsi="Arial" w:cs="Arial"/>
          <w:lang w:val="en-US"/>
        </w:rPr>
        <w:t xml:space="preserve"> Secondly, </w:t>
      </w:r>
      <w:r w:rsidR="00075414" w:rsidRPr="00075414">
        <w:rPr>
          <w:rFonts w:ascii="Arial" w:hAnsi="Arial" w:cs="Arial"/>
        </w:rPr>
        <w:t>this impact on the economic output</w:t>
      </w:r>
      <w:r w:rsidR="00075414">
        <w:rPr>
          <w:rFonts w:ascii="Arial" w:hAnsi="Arial" w:cs="Arial"/>
          <w:lang w:val="en-US"/>
        </w:rPr>
        <w:t xml:space="preserve"> will impact </w:t>
      </w:r>
      <w:r w:rsidR="00075414" w:rsidRPr="00075414">
        <w:rPr>
          <w:rFonts w:ascii="Arial" w:hAnsi="Arial" w:cs="Arial"/>
        </w:rPr>
        <w:t>government revenue generation and relatedly the available public budget</w:t>
      </w:r>
      <w:r w:rsidR="00075414">
        <w:rPr>
          <w:rFonts w:ascii="Arial" w:hAnsi="Arial" w:cs="Arial"/>
          <w:lang w:val="en-US"/>
        </w:rPr>
        <w:t xml:space="preserve">, by providing </w:t>
      </w:r>
      <w:commentRangeStart w:id="3"/>
      <w:r w:rsidR="00075414">
        <w:rPr>
          <w:rFonts w:ascii="Arial" w:hAnsi="Arial" w:cs="Arial"/>
          <w:lang w:val="en-US"/>
        </w:rPr>
        <w:t>284 billion</w:t>
      </w:r>
      <w:commentRangeEnd w:id="3"/>
      <w:r w:rsidR="00075414">
        <w:rPr>
          <w:rStyle w:val="CommentReference"/>
        </w:rPr>
        <w:commentReference w:id="3"/>
      </w:r>
      <w:r w:rsidR="00075414">
        <w:rPr>
          <w:rFonts w:ascii="Arial" w:hAnsi="Arial" w:cs="Arial"/>
          <w:lang w:val="en-US"/>
        </w:rPr>
        <w:t xml:space="preserve"> dollar of government revenue. When the alternative pathways provide higher education quality, the increasement education quality of </w:t>
      </w:r>
      <w:r w:rsidR="00075414" w:rsidRPr="00075414">
        <w:rPr>
          <w:rFonts w:ascii="Colfax" w:eastAsia="Times New Roman" w:hAnsi="Colfax"/>
          <w:sz w:val="22"/>
          <w:szCs w:val="22"/>
        </w:rPr>
        <w:t xml:space="preserve">LAYS </w:t>
      </w:r>
      <w:r w:rsidR="00397ED0">
        <w:rPr>
          <w:rFonts w:eastAsia="Times New Roman"/>
          <w:lang w:val="en-US"/>
        </w:rPr>
        <w:t>(</w:t>
      </w:r>
      <w:r w:rsidR="00397ED0" w:rsidRPr="00397ED0">
        <w:rPr>
          <w:rFonts w:ascii="Colfax" w:eastAsia="Times New Roman" w:hAnsi="Colfax"/>
          <w:sz w:val="22"/>
          <w:szCs w:val="22"/>
        </w:rPr>
        <w:t xml:space="preserve">Learning Adjusted Years of Schooling </w:t>
      </w:r>
    </w:p>
    <w:p w14:paraId="0F903E7A" w14:textId="3B48BB58" w:rsidR="00397ED0" w:rsidRDefault="00397ED0" w:rsidP="00397ED0">
      <w:pPr>
        <w:pStyle w:val="NormalWeb"/>
        <w:rPr>
          <w:rFonts w:ascii="Colfax" w:eastAsia="Times New Roman" w:hAnsi="Colfax"/>
          <w:sz w:val="22"/>
          <w:szCs w:val="22"/>
          <w:lang w:val="en-US"/>
        </w:rPr>
      </w:pPr>
      <w:r>
        <w:rPr>
          <w:rFonts w:ascii="Arial" w:hAnsi="Arial" w:cs="Arial"/>
          <w:lang w:val="en-US"/>
        </w:rPr>
        <w:t xml:space="preserve">) </w:t>
      </w:r>
      <w:proofErr w:type="gramStart"/>
      <w:r>
        <w:rPr>
          <w:rFonts w:ascii="Arial" w:hAnsi="Arial" w:cs="Arial"/>
          <w:lang w:val="en-US"/>
        </w:rPr>
        <w:t>can</w:t>
      </w:r>
      <w:proofErr w:type="gramEnd"/>
      <w:r>
        <w:rPr>
          <w:rFonts w:ascii="Arial" w:hAnsi="Arial" w:cs="Arial"/>
          <w:lang w:val="en-US"/>
        </w:rPr>
        <w:t xml:space="preserve"> be used to estimate the </w:t>
      </w:r>
      <w:r w:rsidR="00075414" w:rsidRPr="00075414">
        <w:rPr>
          <w:rFonts w:ascii="Colfax" w:eastAsia="Times New Roman" w:hAnsi="Colfax"/>
          <w:sz w:val="22"/>
          <w:szCs w:val="22"/>
        </w:rPr>
        <w:t>change in the mortality rate to the weighted impact on the total population</w:t>
      </w:r>
      <w:r>
        <w:rPr>
          <w:rFonts w:ascii="Colfax" w:eastAsia="Times New Roman" w:hAnsi="Colfax"/>
          <w:sz w:val="22"/>
          <w:szCs w:val="22"/>
          <w:lang w:val="en-US"/>
        </w:rPr>
        <w:t xml:space="preserve"> and change in</w:t>
      </w:r>
      <w:r w:rsidRPr="00397ED0">
        <w:rPr>
          <w:rFonts w:ascii="Colfax" w:eastAsia="Times New Roman" w:hAnsi="Colfax"/>
          <w:sz w:val="22"/>
          <w:szCs w:val="22"/>
        </w:rPr>
        <w:t xml:space="preserve"> the likelihood of child marriage</w:t>
      </w:r>
      <w:r>
        <w:rPr>
          <w:rFonts w:ascii="Colfax" w:eastAsia="Times New Roman" w:hAnsi="Colfax"/>
          <w:sz w:val="22"/>
          <w:szCs w:val="22"/>
          <w:lang w:val="en-US"/>
        </w:rPr>
        <w:t xml:space="preserve">. Specifically, it can improve the health condition for </w:t>
      </w:r>
      <w:commentRangeStart w:id="4"/>
      <w:r>
        <w:rPr>
          <w:rFonts w:ascii="Colfax" w:eastAsia="Times New Roman" w:hAnsi="Colfax"/>
          <w:sz w:val="22"/>
          <w:szCs w:val="22"/>
          <w:lang w:val="en-US"/>
        </w:rPr>
        <w:t xml:space="preserve">8 million </w:t>
      </w:r>
      <w:commentRangeEnd w:id="4"/>
      <w:r>
        <w:rPr>
          <w:rStyle w:val="CommentReference"/>
          <w:rFonts w:asciiTheme="minorHAnsi" w:hAnsiTheme="minorHAnsi" w:cstheme="minorBidi"/>
        </w:rPr>
        <w:commentReference w:id="4"/>
      </w:r>
      <w:r>
        <w:rPr>
          <w:rFonts w:ascii="Colfax" w:eastAsia="Times New Roman" w:hAnsi="Colfax"/>
          <w:sz w:val="22"/>
          <w:szCs w:val="22"/>
          <w:lang w:val="en-US"/>
        </w:rPr>
        <w:t xml:space="preserve">and save </w:t>
      </w:r>
      <w:commentRangeStart w:id="5"/>
      <w:r>
        <w:rPr>
          <w:rFonts w:ascii="Colfax" w:eastAsia="Times New Roman" w:hAnsi="Colfax"/>
          <w:sz w:val="22"/>
          <w:szCs w:val="22"/>
          <w:lang w:val="en-US"/>
        </w:rPr>
        <w:t xml:space="preserve">12 million </w:t>
      </w:r>
      <w:commentRangeEnd w:id="5"/>
      <w:r>
        <w:rPr>
          <w:rStyle w:val="CommentReference"/>
          <w:rFonts w:asciiTheme="minorHAnsi" w:hAnsiTheme="minorHAnsi" w:cstheme="minorBidi"/>
        </w:rPr>
        <w:commentReference w:id="5"/>
      </w:r>
      <w:r>
        <w:rPr>
          <w:rFonts w:ascii="Colfax" w:eastAsia="Times New Roman" w:hAnsi="Colfax"/>
          <w:sz w:val="22"/>
          <w:szCs w:val="22"/>
          <w:lang w:val="en-US"/>
        </w:rPr>
        <w:t xml:space="preserve">from early marriage. Here we also provide the table to break down the benefit for each income group. </w:t>
      </w:r>
    </w:p>
    <w:p w14:paraId="7047FBCD" w14:textId="1493E9B3" w:rsidR="00397ED0" w:rsidRDefault="00397ED0" w:rsidP="00397ED0">
      <w:pPr>
        <w:pStyle w:val="NormalWeb"/>
        <w:rPr>
          <w:rFonts w:ascii="Colfax" w:eastAsia="Times New Roman" w:hAnsi="Colfax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287"/>
        <w:gridCol w:w="1287"/>
        <w:gridCol w:w="1287"/>
        <w:gridCol w:w="1287"/>
        <w:gridCol w:w="1287"/>
      </w:tblGrid>
      <w:tr w:rsidR="00853E9D" w14:paraId="389A483E" w14:textId="77777777" w:rsidTr="00803C0D">
        <w:tc>
          <w:tcPr>
            <w:tcW w:w="1416" w:type="dxa"/>
          </w:tcPr>
          <w:p w14:paraId="3FFC8895" w14:textId="77777777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</w:p>
        </w:tc>
        <w:tc>
          <w:tcPr>
            <w:tcW w:w="1287" w:type="dxa"/>
          </w:tcPr>
          <w:p w14:paraId="561083E9" w14:textId="02C86180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World</w:t>
            </w:r>
          </w:p>
        </w:tc>
        <w:tc>
          <w:tcPr>
            <w:tcW w:w="1287" w:type="dxa"/>
          </w:tcPr>
          <w:p w14:paraId="52A15BEF" w14:textId="4BAEC81A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Low Income</w:t>
            </w:r>
          </w:p>
        </w:tc>
        <w:tc>
          <w:tcPr>
            <w:tcW w:w="1287" w:type="dxa"/>
          </w:tcPr>
          <w:p w14:paraId="312F0031" w14:textId="600710EC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Lower Middle</w:t>
            </w:r>
          </w:p>
          <w:p w14:paraId="1350B4F2" w14:textId="1052CE98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Income</w:t>
            </w:r>
          </w:p>
        </w:tc>
        <w:tc>
          <w:tcPr>
            <w:tcW w:w="1287" w:type="dxa"/>
          </w:tcPr>
          <w:p w14:paraId="1A3A6894" w14:textId="02178CA1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Upper Middle Income</w:t>
            </w:r>
          </w:p>
        </w:tc>
        <w:tc>
          <w:tcPr>
            <w:tcW w:w="1287" w:type="dxa"/>
          </w:tcPr>
          <w:p w14:paraId="44129277" w14:textId="77777777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High</w:t>
            </w:r>
          </w:p>
          <w:p w14:paraId="4DCAC63D" w14:textId="52CC5059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Income</w:t>
            </w:r>
          </w:p>
        </w:tc>
      </w:tr>
      <w:tr w:rsidR="00853E9D" w14:paraId="34D81CA5" w14:textId="77777777" w:rsidTr="00803C0D">
        <w:tc>
          <w:tcPr>
            <w:tcW w:w="1416" w:type="dxa"/>
          </w:tcPr>
          <w:p w14:paraId="11D23849" w14:textId="47EA2943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Better pathway</w:t>
            </w:r>
          </w:p>
        </w:tc>
        <w:tc>
          <w:tcPr>
            <w:tcW w:w="1287" w:type="dxa"/>
          </w:tcPr>
          <w:p w14:paraId="48C6001E" w14:textId="028908DB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271 million</w:t>
            </w:r>
          </w:p>
        </w:tc>
        <w:tc>
          <w:tcPr>
            <w:tcW w:w="1287" w:type="dxa"/>
          </w:tcPr>
          <w:p w14:paraId="6EFF5031" w14:textId="77A4F23E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37.8 million</w:t>
            </w:r>
          </w:p>
        </w:tc>
        <w:tc>
          <w:tcPr>
            <w:tcW w:w="1287" w:type="dxa"/>
          </w:tcPr>
          <w:p w14:paraId="53B46B13" w14:textId="0123804A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200.9 million</w:t>
            </w:r>
          </w:p>
        </w:tc>
        <w:tc>
          <w:tcPr>
            <w:tcW w:w="1287" w:type="dxa"/>
          </w:tcPr>
          <w:p w14:paraId="4B7C9ABB" w14:textId="355B5333" w:rsidR="00853E9D" w:rsidRDefault="00853E9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32.4 million</w:t>
            </w:r>
          </w:p>
        </w:tc>
        <w:tc>
          <w:tcPr>
            <w:tcW w:w="1287" w:type="dxa"/>
          </w:tcPr>
          <w:p w14:paraId="0648E82E" w14:textId="1CDC4929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0.15 million</w:t>
            </w:r>
          </w:p>
        </w:tc>
      </w:tr>
      <w:tr w:rsidR="00853E9D" w14:paraId="76CA1340" w14:textId="77777777" w:rsidTr="00803C0D">
        <w:tc>
          <w:tcPr>
            <w:tcW w:w="1416" w:type="dxa"/>
          </w:tcPr>
          <w:p w14:paraId="61CFB118" w14:textId="1C2C9004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Increased Salaries</w:t>
            </w:r>
          </w:p>
        </w:tc>
        <w:tc>
          <w:tcPr>
            <w:tcW w:w="1287" w:type="dxa"/>
          </w:tcPr>
          <w:p w14:paraId="77C9C6AC" w14:textId="6BB6D84C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1.96 trillion</w:t>
            </w:r>
          </w:p>
        </w:tc>
        <w:tc>
          <w:tcPr>
            <w:tcW w:w="1287" w:type="dxa"/>
          </w:tcPr>
          <w:p w14:paraId="12D7B657" w14:textId="4BC076C5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180 bill</w:t>
            </w:r>
            <w:r>
              <w:rPr>
                <w:rFonts w:eastAsia="Times New Roman"/>
                <w:lang w:val="en-US"/>
              </w:rPr>
              <w:t>ion</w:t>
            </w:r>
          </w:p>
        </w:tc>
        <w:tc>
          <w:tcPr>
            <w:tcW w:w="1287" w:type="dxa"/>
          </w:tcPr>
          <w:p w14:paraId="787AD2D6" w14:textId="7CD90B9A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1.20 trillion</w:t>
            </w:r>
          </w:p>
        </w:tc>
        <w:tc>
          <w:tcPr>
            <w:tcW w:w="1287" w:type="dxa"/>
          </w:tcPr>
          <w:p w14:paraId="1AF75487" w14:textId="4FF6C8A8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569 billion</w:t>
            </w:r>
          </w:p>
        </w:tc>
        <w:tc>
          <w:tcPr>
            <w:tcW w:w="1287" w:type="dxa"/>
          </w:tcPr>
          <w:p w14:paraId="1D729164" w14:textId="1A30C6B6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9.7 billion</w:t>
            </w:r>
          </w:p>
        </w:tc>
      </w:tr>
      <w:tr w:rsidR="00853E9D" w14:paraId="49284F87" w14:textId="77777777" w:rsidTr="00803C0D">
        <w:tc>
          <w:tcPr>
            <w:tcW w:w="1416" w:type="dxa"/>
          </w:tcPr>
          <w:p w14:paraId="415173BD" w14:textId="73D9485B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Government Revenue</w:t>
            </w:r>
          </w:p>
        </w:tc>
        <w:tc>
          <w:tcPr>
            <w:tcW w:w="1287" w:type="dxa"/>
          </w:tcPr>
          <w:p w14:paraId="6CD1EC4E" w14:textId="341AD7B2" w:rsidR="00853E9D" w:rsidRDefault="00803C0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284 billion</w:t>
            </w:r>
          </w:p>
        </w:tc>
        <w:tc>
          <w:tcPr>
            <w:tcW w:w="1287" w:type="dxa"/>
          </w:tcPr>
          <w:p w14:paraId="4C635396" w14:textId="19B76150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21.7 billion</w:t>
            </w:r>
          </w:p>
        </w:tc>
        <w:tc>
          <w:tcPr>
            <w:tcW w:w="1287" w:type="dxa"/>
          </w:tcPr>
          <w:p w14:paraId="198A8706" w14:textId="5A245C8E" w:rsidR="00853E9D" w:rsidRDefault="00E57CC1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172.</w:t>
            </w:r>
            <w:r w:rsidR="00803C0D">
              <w:rPr>
                <w:rFonts w:eastAsia="Times New Roman"/>
                <w:lang w:val="en-US"/>
              </w:rPr>
              <w:t>8 billion</w:t>
            </w:r>
          </w:p>
        </w:tc>
        <w:tc>
          <w:tcPr>
            <w:tcW w:w="1287" w:type="dxa"/>
          </w:tcPr>
          <w:p w14:paraId="726AA960" w14:textId="1CF167F9" w:rsidR="00853E9D" w:rsidRDefault="00803C0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87.9 billion</w:t>
            </w:r>
          </w:p>
        </w:tc>
        <w:tc>
          <w:tcPr>
            <w:tcW w:w="1287" w:type="dxa"/>
          </w:tcPr>
          <w:p w14:paraId="00F0AA8F" w14:textId="1DD6671E" w:rsidR="00853E9D" w:rsidRDefault="00803C0D" w:rsidP="00397ED0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1.81 billion</w:t>
            </w:r>
          </w:p>
        </w:tc>
      </w:tr>
      <w:tr w:rsidR="00803C0D" w14:paraId="3375B6DF" w14:textId="77777777" w:rsidTr="00803C0D">
        <w:tc>
          <w:tcPr>
            <w:tcW w:w="1416" w:type="dxa"/>
          </w:tcPr>
          <w:p w14:paraId="2A7FC97F" w14:textId="54751B78" w:rsidR="00803C0D" w:rsidRDefault="00803C0D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Saved extreme poverty</w:t>
            </w:r>
          </w:p>
        </w:tc>
        <w:tc>
          <w:tcPr>
            <w:tcW w:w="1287" w:type="dxa"/>
          </w:tcPr>
          <w:p w14:paraId="0361C809" w14:textId="3DA69C9B" w:rsidR="00803C0D" w:rsidRDefault="00803C0D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121 million</w:t>
            </w:r>
          </w:p>
        </w:tc>
        <w:tc>
          <w:tcPr>
            <w:tcW w:w="1287" w:type="dxa"/>
          </w:tcPr>
          <w:p w14:paraId="5943ABE7" w14:textId="43E79829" w:rsidR="00803C0D" w:rsidRDefault="00803C0D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8.71 million</w:t>
            </w:r>
          </w:p>
        </w:tc>
        <w:tc>
          <w:tcPr>
            <w:tcW w:w="1287" w:type="dxa"/>
          </w:tcPr>
          <w:p w14:paraId="1426A452" w14:textId="6191487D" w:rsidR="00803C0D" w:rsidRDefault="00803C0D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81.57 million</w:t>
            </w:r>
          </w:p>
        </w:tc>
        <w:tc>
          <w:tcPr>
            <w:tcW w:w="1287" w:type="dxa"/>
          </w:tcPr>
          <w:p w14:paraId="43EEE869" w14:textId="77777777" w:rsidR="00803C0D" w:rsidRDefault="00803C0D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30.43</w:t>
            </w:r>
          </w:p>
          <w:p w14:paraId="297AAABE" w14:textId="1A73BFB7" w:rsidR="00803C0D" w:rsidRDefault="00803C0D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million</w:t>
            </w:r>
          </w:p>
        </w:tc>
        <w:tc>
          <w:tcPr>
            <w:tcW w:w="1287" w:type="dxa"/>
          </w:tcPr>
          <w:p w14:paraId="05C22B05" w14:textId="77777777" w:rsidR="00803C0D" w:rsidRDefault="00803C0D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0.23</w:t>
            </w:r>
          </w:p>
          <w:p w14:paraId="61F50367" w14:textId="644E2F9B" w:rsidR="00803C0D" w:rsidRDefault="00803C0D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million</w:t>
            </w:r>
          </w:p>
        </w:tc>
      </w:tr>
      <w:tr w:rsidR="00803C0D" w14:paraId="675FC59F" w14:textId="77777777" w:rsidTr="00803C0D">
        <w:tc>
          <w:tcPr>
            <w:tcW w:w="1416" w:type="dxa"/>
          </w:tcPr>
          <w:p w14:paraId="45F54CAC" w14:textId="39126C22" w:rsidR="00803C0D" w:rsidRDefault="00803C0D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Improved Health Condition</w:t>
            </w:r>
          </w:p>
        </w:tc>
        <w:tc>
          <w:tcPr>
            <w:tcW w:w="1287" w:type="dxa"/>
          </w:tcPr>
          <w:p w14:paraId="6E8B3D25" w14:textId="0B660AB8" w:rsidR="00803C0D" w:rsidRDefault="004C6A11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8 million</w:t>
            </w:r>
          </w:p>
        </w:tc>
        <w:tc>
          <w:tcPr>
            <w:tcW w:w="1287" w:type="dxa"/>
          </w:tcPr>
          <w:p w14:paraId="6EB5AC66" w14:textId="61EEDA1F" w:rsidR="00803C0D" w:rsidRDefault="004C6A11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1.98 million</w:t>
            </w:r>
          </w:p>
        </w:tc>
        <w:tc>
          <w:tcPr>
            <w:tcW w:w="1287" w:type="dxa"/>
          </w:tcPr>
          <w:p w14:paraId="2F3EA526" w14:textId="77777777" w:rsidR="004C6A11" w:rsidRDefault="004C6A11" w:rsidP="004C6A11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5.53</w:t>
            </w:r>
          </w:p>
          <w:p w14:paraId="4AA3BDEA" w14:textId="11527800" w:rsidR="00803C0D" w:rsidRDefault="004C6A11" w:rsidP="004C6A11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million</w:t>
            </w:r>
          </w:p>
        </w:tc>
        <w:tc>
          <w:tcPr>
            <w:tcW w:w="1287" w:type="dxa"/>
          </w:tcPr>
          <w:p w14:paraId="06B99367" w14:textId="60409836" w:rsidR="00803C0D" w:rsidRDefault="004C6A11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0.60 million</w:t>
            </w:r>
          </w:p>
        </w:tc>
        <w:tc>
          <w:tcPr>
            <w:tcW w:w="1287" w:type="dxa"/>
          </w:tcPr>
          <w:p w14:paraId="18587E48" w14:textId="7BEDD1F2" w:rsidR="00803C0D" w:rsidRDefault="004C6A11" w:rsidP="00803C0D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4.31 thousand</w:t>
            </w:r>
          </w:p>
        </w:tc>
      </w:tr>
      <w:tr w:rsidR="004C6A11" w14:paraId="4151F537" w14:textId="77777777" w:rsidTr="00803C0D">
        <w:tc>
          <w:tcPr>
            <w:tcW w:w="1416" w:type="dxa"/>
          </w:tcPr>
          <w:p w14:paraId="602D45A4" w14:textId="5482BB37" w:rsidR="004C6A11" w:rsidRDefault="004C6A11" w:rsidP="004C6A11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Reduced Early Marriage</w:t>
            </w:r>
          </w:p>
        </w:tc>
        <w:tc>
          <w:tcPr>
            <w:tcW w:w="1287" w:type="dxa"/>
          </w:tcPr>
          <w:p w14:paraId="43D59F76" w14:textId="16BEAF25" w:rsidR="004C6A11" w:rsidRDefault="004C6A11" w:rsidP="004C6A11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12 million</w:t>
            </w:r>
          </w:p>
        </w:tc>
        <w:tc>
          <w:tcPr>
            <w:tcW w:w="1287" w:type="dxa"/>
          </w:tcPr>
          <w:p w14:paraId="75534782" w14:textId="7FF9B908" w:rsidR="004C6A11" w:rsidRDefault="004C6A11" w:rsidP="004C6A11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1.80 million</w:t>
            </w:r>
          </w:p>
        </w:tc>
        <w:tc>
          <w:tcPr>
            <w:tcW w:w="1287" w:type="dxa"/>
          </w:tcPr>
          <w:p w14:paraId="16EB37AC" w14:textId="301E087F" w:rsidR="004C6A11" w:rsidRDefault="004C6A11" w:rsidP="004C6A11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9.52 million</w:t>
            </w:r>
          </w:p>
        </w:tc>
        <w:tc>
          <w:tcPr>
            <w:tcW w:w="1287" w:type="dxa"/>
          </w:tcPr>
          <w:p w14:paraId="58C37542" w14:textId="1FEACF8B" w:rsidR="004C6A11" w:rsidRDefault="004C6A11" w:rsidP="004C6A11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1.34 million</w:t>
            </w:r>
          </w:p>
        </w:tc>
        <w:tc>
          <w:tcPr>
            <w:tcW w:w="1287" w:type="dxa"/>
          </w:tcPr>
          <w:p w14:paraId="5D765285" w14:textId="4994E86A" w:rsidR="004C6A11" w:rsidRDefault="004C6A11" w:rsidP="004C6A11">
            <w:pPr>
              <w:pStyle w:val="NormalWeb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9.71 thousand</w:t>
            </w:r>
          </w:p>
        </w:tc>
      </w:tr>
    </w:tbl>
    <w:p w14:paraId="0979462E" w14:textId="77777777" w:rsidR="00397ED0" w:rsidRPr="00397ED0" w:rsidRDefault="00397ED0" w:rsidP="00397ED0">
      <w:pPr>
        <w:pStyle w:val="NormalWeb"/>
        <w:rPr>
          <w:rFonts w:eastAsia="Times New Roman"/>
          <w:lang w:val="en-US"/>
        </w:rPr>
      </w:pPr>
    </w:p>
    <w:p w14:paraId="22B61F56" w14:textId="2BB98D30" w:rsidR="00075414" w:rsidRPr="00397ED0" w:rsidRDefault="00075414" w:rsidP="00075414">
      <w:pPr>
        <w:pStyle w:val="NormalWeb"/>
        <w:rPr>
          <w:rFonts w:eastAsia="Times New Roman"/>
          <w:lang w:val="en-US"/>
        </w:rPr>
      </w:pPr>
    </w:p>
    <w:p w14:paraId="08CF1EBF" w14:textId="3FDCF465" w:rsidR="00075414" w:rsidRPr="00075414" w:rsidRDefault="00075414" w:rsidP="00075414">
      <w:pPr>
        <w:rPr>
          <w:rFonts w:ascii="Arial" w:hAnsi="Arial" w:cs="Arial"/>
          <w:lang w:val="en-US"/>
        </w:rPr>
      </w:pPr>
    </w:p>
    <w:p w14:paraId="2D91D483" w14:textId="0CDB2AEE" w:rsidR="003A4FF0" w:rsidRPr="003A4FF0" w:rsidRDefault="003A4FF0"/>
    <w:p w14:paraId="73E1D761" w14:textId="77777777" w:rsidR="003A4FF0" w:rsidRPr="003A4FF0" w:rsidRDefault="003A4FF0">
      <w:pPr>
        <w:rPr>
          <w:lang w:val="en-US"/>
        </w:rPr>
      </w:pPr>
    </w:p>
    <w:sectPr w:rsidR="003A4FF0" w:rsidRPr="003A4FF0" w:rsidSect="007E40BE">
      <w:pgSz w:w="11900" w:h="16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ng Liu (PGR)" w:date="2022-03-09T13:58:00Z" w:initials="ML(">
    <w:p w14:paraId="719AEC9A" w14:textId="625CB79D" w:rsidR="006D5E5C" w:rsidRPr="006D5E5C" w:rsidRDefault="006D5E5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271,214,411</w:t>
      </w:r>
    </w:p>
  </w:comment>
  <w:comment w:id="1" w:author="Meng Liu (PGR)" w:date="2022-03-09T14:02:00Z" w:initials="ML(">
    <w:p w14:paraId="4C07B523" w14:textId="47CC4967" w:rsidR="006D5E5C" w:rsidRDefault="006D5E5C">
      <w:pPr>
        <w:pStyle w:val="CommentText"/>
      </w:pPr>
      <w:r>
        <w:rPr>
          <w:rStyle w:val="CommentReference"/>
        </w:rPr>
        <w:annotationRef/>
      </w:r>
      <w:r w:rsidRPr="006D5E5C">
        <w:t>1</w:t>
      </w:r>
      <w:r>
        <w:rPr>
          <w:lang w:val="en-US"/>
        </w:rPr>
        <w:t>,</w:t>
      </w:r>
      <w:r w:rsidRPr="006D5E5C">
        <w:t>958</w:t>
      </w:r>
      <w:r>
        <w:rPr>
          <w:lang w:val="en-US"/>
        </w:rPr>
        <w:t>,</w:t>
      </w:r>
      <w:r w:rsidRPr="006D5E5C">
        <w:t>219</w:t>
      </w:r>
      <w:r>
        <w:rPr>
          <w:lang w:val="en-US"/>
        </w:rPr>
        <w:t>,</w:t>
      </w:r>
      <w:r w:rsidRPr="006D5E5C">
        <w:t>417</w:t>
      </w:r>
      <w:r>
        <w:rPr>
          <w:lang w:val="en-US"/>
        </w:rPr>
        <w:t>,</w:t>
      </w:r>
      <w:r w:rsidRPr="006D5E5C">
        <w:t>169</w:t>
      </w:r>
    </w:p>
  </w:comment>
  <w:comment w:id="2" w:author="Meng Liu (PGR)" w:date="2022-03-09T14:07:00Z" w:initials="ML(">
    <w:p w14:paraId="747FB5DA" w14:textId="348B3464" w:rsidR="00C753DB" w:rsidRDefault="00C753DB">
      <w:pPr>
        <w:pStyle w:val="CommentText"/>
      </w:pPr>
      <w:r>
        <w:rPr>
          <w:rStyle w:val="CommentReference"/>
        </w:rPr>
        <w:annotationRef/>
      </w:r>
      <w:r w:rsidRPr="00C753DB">
        <w:t>120</w:t>
      </w:r>
      <w:r>
        <w:rPr>
          <w:lang w:val="en-US"/>
        </w:rPr>
        <w:t>,</w:t>
      </w:r>
      <w:r w:rsidRPr="00C753DB">
        <w:t>939</w:t>
      </w:r>
      <w:r>
        <w:rPr>
          <w:lang w:val="en-US"/>
        </w:rPr>
        <w:t>,</w:t>
      </w:r>
      <w:r w:rsidRPr="00C753DB">
        <w:t>126</w:t>
      </w:r>
    </w:p>
  </w:comment>
  <w:comment w:id="3" w:author="Meng Liu (PGR)" w:date="2022-03-09T14:10:00Z" w:initials="ML(">
    <w:p w14:paraId="44A3F76A" w14:textId="29E0B6D2" w:rsidR="00075414" w:rsidRDefault="00075414">
      <w:pPr>
        <w:pStyle w:val="CommentText"/>
      </w:pPr>
      <w:r>
        <w:rPr>
          <w:rStyle w:val="CommentReference"/>
        </w:rPr>
        <w:annotationRef/>
      </w:r>
      <w:r w:rsidRPr="00075414">
        <w:t>284</w:t>
      </w:r>
      <w:r>
        <w:rPr>
          <w:lang w:val="en-US"/>
        </w:rPr>
        <w:t>,</w:t>
      </w:r>
      <w:r w:rsidRPr="00075414">
        <w:t>284</w:t>
      </w:r>
      <w:r>
        <w:rPr>
          <w:lang w:val="en-US"/>
        </w:rPr>
        <w:t>,</w:t>
      </w:r>
      <w:r w:rsidRPr="00075414">
        <w:t>067</w:t>
      </w:r>
      <w:r>
        <w:rPr>
          <w:lang w:val="en-US"/>
        </w:rPr>
        <w:t>,</w:t>
      </w:r>
      <w:r w:rsidRPr="00075414">
        <w:t>413</w:t>
      </w:r>
    </w:p>
  </w:comment>
  <w:comment w:id="4" w:author="Meng Liu (PGR)" w:date="2022-03-09T14:15:00Z" w:initials="ML(">
    <w:p w14:paraId="22471E56" w14:textId="1F71944D" w:rsidR="00397ED0" w:rsidRDefault="00397ED0">
      <w:pPr>
        <w:pStyle w:val="CommentText"/>
      </w:pPr>
      <w:r>
        <w:rPr>
          <w:rStyle w:val="CommentReference"/>
        </w:rPr>
        <w:annotationRef/>
      </w:r>
      <w:r w:rsidRPr="00397ED0">
        <w:t>8</w:t>
      </w:r>
      <w:r>
        <w:rPr>
          <w:lang w:val="en-US"/>
        </w:rPr>
        <w:t>,</w:t>
      </w:r>
      <w:r w:rsidRPr="00397ED0">
        <w:t>112</w:t>
      </w:r>
      <w:r>
        <w:rPr>
          <w:lang w:val="en-US"/>
        </w:rPr>
        <w:t>,</w:t>
      </w:r>
      <w:r w:rsidRPr="00397ED0">
        <w:t xml:space="preserve">049 </w:t>
      </w:r>
    </w:p>
  </w:comment>
  <w:comment w:id="5" w:author="Meng Liu (PGR)" w:date="2022-03-09T14:17:00Z" w:initials="ML(">
    <w:p w14:paraId="2465DC5E" w14:textId="2BC9CC20" w:rsidR="00397ED0" w:rsidRPr="00397ED0" w:rsidRDefault="00397ED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12,666,877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AEC9A" w15:done="0"/>
  <w15:commentEx w15:paraId="4C07B523" w15:done="0"/>
  <w15:commentEx w15:paraId="747FB5DA" w15:done="0"/>
  <w15:commentEx w15:paraId="44A3F76A" w15:done="0"/>
  <w15:commentEx w15:paraId="22471E56" w15:done="0"/>
  <w15:commentEx w15:paraId="2465DC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311C" w16cex:dateUtc="2022-03-09T13:58:00Z"/>
  <w16cex:commentExtensible w16cex:durableId="25D331EA" w16cex:dateUtc="2022-03-09T14:02:00Z"/>
  <w16cex:commentExtensible w16cex:durableId="25D33335" w16cex:dateUtc="2022-03-09T14:07:00Z"/>
  <w16cex:commentExtensible w16cex:durableId="25D333F0" w16cex:dateUtc="2022-03-09T14:10:00Z"/>
  <w16cex:commentExtensible w16cex:durableId="25D33513" w16cex:dateUtc="2022-03-09T14:15:00Z"/>
  <w16cex:commentExtensible w16cex:durableId="25D3357D" w16cex:dateUtc="2022-03-09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AEC9A" w16cid:durableId="25D3311C"/>
  <w16cid:commentId w16cid:paraId="4C07B523" w16cid:durableId="25D331EA"/>
  <w16cid:commentId w16cid:paraId="747FB5DA" w16cid:durableId="25D33335"/>
  <w16cid:commentId w16cid:paraId="44A3F76A" w16cid:durableId="25D333F0"/>
  <w16cid:commentId w16cid:paraId="22471E56" w16cid:durableId="25D33513"/>
  <w16cid:commentId w16cid:paraId="2465DC5E" w16cid:durableId="25D335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fax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ng Liu (PGR)">
    <w15:presenceInfo w15:providerId="AD" w15:userId="S::m.liu.3@research.gla.ac.uk::fad9dfbd-8b79-4136-afb5-5396e80f7d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F0"/>
    <w:rsid w:val="000636CC"/>
    <w:rsid w:val="00075414"/>
    <w:rsid w:val="00397ED0"/>
    <w:rsid w:val="003A4FF0"/>
    <w:rsid w:val="003B3C02"/>
    <w:rsid w:val="004C6A11"/>
    <w:rsid w:val="00603ACF"/>
    <w:rsid w:val="006D5E5C"/>
    <w:rsid w:val="007E40BE"/>
    <w:rsid w:val="00803C0D"/>
    <w:rsid w:val="00853E9D"/>
    <w:rsid w:val="00C753DB"/>
    <w:rsid w:val="00D07F3D"/>
    <w:rsid w:val="00DE12F5"/>
    <w:rsid w:val="00E5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45E40"/>
  <w15:chartTrackingRefBased/>
  <w15:docId w15:val="{4FE3A22A-A6DC-F34A-8ABF-0B50D91C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5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E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E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E5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541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9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Liu (PGR)</dc:creator>
  <cp:keywords/>
  <dc:description/>
  <cp:lastModifiedBy>Meng Liu (PGR)</cp:lastModifiedBy>
  <cp:revision>1</cp:revision>
  <dcterms:created xsi:type="dcterms:W3CDTF">2022-03-09T13:51:00Z</dcterms:created>
  <dcterms:modified xsi:type="dcterms:W3CDTF">2022-03-09T14:39:00Z</dcterms:modified>
</cp:coreProperties>
</file>