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A122" w14:textId="77777777" w:rsidR="005A7B96" w:rsidRDefault="005A7B96" w:rsidP="005A7B96">
      <w:pPr>
        <w:rPr>
          <w:rFonts w:hint="eastAsia"/>
        </w:rPr>
      </w:pPr>
      <w:r>
        <w:rPr>
          <w:rFonts w:hint="eastAsia"/>
        </w:rPr>
        <w:t>离散性</w:t>
      </w:r>
    </w:p>
    <w:p w14:paraId="4CB97D34" w14:textId="77777777" w:rsidR="005A7B96" w:rsidRDefault="005A7B96" w:rsidP="005A7B96">
      <w:pPr>
        <w:rPr>
          <w:rFonts w:hint="eastAsia"/>
        </w:rPr>
      </w:pPr>
      <w:r>
        <w:rPr>
          <w:rFonts w:hint="eastAsia"/>
        </w:rPr>
        <w:t>层级 描述</w:t>
      </w:r>
    </w:p>
    <w:p w14:paraId="03050471" w14:textId="77777777" w:rsidR="005A7B96" w:rsidRDefault="005A7B96" w:rsidP="005A7B96">
      <w:pPr>
        <w:rPr>
          <w:rFonts w:hint="eastAsia"/>
        </w:rPr>
      </w:pPr>
      <w:r>
        <w:rPr>
          <w:rFonts w:hint="eastAsia"/>
        </w:rPr>
        <w:t>0.0–0.1 完全连续</w:t>
      </w:r>
    </w:p>
    <w:p w14:paraId="728820A4" w14:textId="77777777" w:rsidR="005A7B96" w:rsidRDefault="005A7B96" w:rsidP="005A7B96">
      <w:pPr>
        <w:rPr>
          <w:rFonts w:hint="eastAsia"/>
        </w:rPr>
      </w:pPr>
      <w:r>
        <w:rPr>
          <w:rFonts w:hint="eastAsia"/>
        </w:rPr>
        <w:t>0.1–0.2 高度连续，极少离散特例</w:t>
      </w:r>
    </w:p>
    <w:p w14:paraId="6B591941" w14:textId="77777777" w:rsidR="005A7B96" w:rsidRDefault="005A7B96" w:rsidP="005A7B96">
      <w:pPr>
        <w:rPr>
          <w:rFonts w:hint="eastAsia"/>
        </w:rPr>
      </w:pPr>
      <w:r>
        <w:rPr>
          <w:rFonts w:hint="eastAsia"/>
        </w:rPr>
        <w:t>0.2–0.3 连续为主，局部可离散化</w:t>
      </w:r>
    </w:p>
    <w:p w14:paraId="542AD61D" w14:textId="77777777" w:rsidR="005A7B96" w:rsidRDefault="005A7B96" w:rsidP="005A7B96">
      <w:pPr>
        <w:rPr>
          <w:rFonts w:hint="eastAsia"/>
        </w:rPr>
      </w:pPr>
      <w:r>
        <w:rPr>
          <w:rFonts w:hint="eastAsia"/>
        </w:rPr>
        <w:t>0.3–0.4 连续主导，离散结构存在</w:t>
      </w:r>
    </w:p>
    <w:p w14:paraId="0A64E7FC" w14:textId="77777777" w:rsidR="005A7B96" w:rsidRDefault="005A7B96" w:rsidP="005A7B96">
      <w:pPr>
        <w:rPr>
          <w:rFonts w:hint="eastAsia"/>
        </w:rPr>
      </w:pPr>
      <w:r>
        <w:rPr>
          <w:rFonts w:hint="eastAsia"/>
        </w:rPr>
        <w:t>0.4–0.5 连续离散平衡</w:t>
      </w:r>
    </w:p>
    <w:p w14:paraId="5C247308" w14:textId="77777777" w:rsidR="005A7B96" w:rsidRDefault="005A7B96" w:rsidP="005A7B96">
      <w:pPr>
        <w:rPr>
          <w:rFonts w:hint="eastAsia"/>
        </w:rPr>
      </w:pPr>
      <w:r>
        <w:rPr>
          <w:rFonts w:hint="eastAsia"/>
        </w:rPr>
        <w:t>0.5–0.6 离散主导，连续结构存在</w:t>
      </w:r>
    </w:p>
    <w:p w14:paraId="7D5DD47E" w14:textId="77777777" w:rsidR="005A7B96" w:rsidRDefault="005A7B96" w:rsidP="005A7B96">
      <w:pPr>
        <w:rPr>
          <w:rFonts w:hint="eastAsia"/>
        </w:rPr>
      </w:pPr>
      <w:r>
        <w:rPr>
          <w:rFonts w:hint="eastAsia"/>
        </w:rPr>
        <w:t>0.6–0.7 离散为主，局部可连续化</w:t>
      </w:r>
    </w:p>
    <w:p w14:paraId="13ADD6C5" w14:textId="77777777" w:rsidR="005A7B96" w:rsidRDefault="005A7B96" w:rsidP="005A7B96">
      <w:pPr>
        <w:rPr>
          <w:rFonts w:hint="eastAsia"/>
        </w:rPr>
      </w:pPr>
      <w:r>
        <w:rPr>
          <w:rFonts w:hint="eastAsia"/>
        </w:rPr>
        <w:t>0.7–0.8 高度离散，极少连续特例</w:t>
      </w:r>
    </w:p>
    <w:p w14:paraId="0F14F3C0" w14:textId="77777777" w:rsidR="005A7B96" w:rsidRDefault="005A7B96" w:rsidP="005A7B96">
      <w:pPr>
        <w:rPr>
          <w:rFonts w:hint="eastAsia"/>
        </w:rPr>
      </w:pPr>
      <w:r>
        <w:rPr>
          <w:rFonts w:hint="eastAsia"/>
        </w:rPr>
        <w:t>0.8–0.9 几乎完全离散</w:t>
      </w:r>
    </w:p>
    <w:p w14:paraId="31D7B85C" w14:textId="77777777" w:rsidR="005A7B96" w:rsidRDefault="005A7B96" w:rsidP="005A7B96">
      <w:pPr>
        <w:rPr>
          <w:rFonts w:hint="eastAsia"/>
        </w:rPr>
      </w:pPr>
      <w:r>
        <w:rPr>
          <w:rFonts w:hint="eastAsia"/>
        </w:rPr>
        <w:t xml:space="preserve">0.9–1.0 完全离散/1. 请对导数打分   Qwen3-Max 导数是微积分中的核心概念，其本质建立在函数在某一点处的局部连续性和极限行为之上。标准定义下的导数要求函数在该点附近（至少在一个邻域内）具有良好的连续性，并且变化率趋于一个确定值。 因此，从“离散性”角度来看： 经典导数完全依赖于连续性，不能直接应用于离散结构（如整数集上的函数）。 在纯数学中，若一个对象具有“导数”，通常意味着它属于连续甚至可微函数范畴。 虽然存在离散微积分（如差分算子）或广义导数（如分布意义下的导数），但这些是对经典导数的扩展或类比，并非传统意义上的导数。  综上所述，经典导数的概念属于“完全连续”的范畴。 打分结果： 导数的离散性得分：0.0 即落在 0.0–0.1（完全连续） 区间。                  视为一个形式符号，再评分   Qwen3-Max 若将“导数”仅视为一个形式符号（formal symbol），而不考虑其经典分析中的连续性语境（例如在形式幂级数、代数微分、符号计算或某些抽象代数结构中），那么它的使用可以脱离传统意义上的极限与连续性。 在这种视角下： 导数符号 </w:t>
      </w:r>
      <w:r>
        <w:rPr>
          <w:rFonts w:ascii="Cambria Math" w:hAnsi="Cambria Math" w:cs="Cambria Math"/>
        </w:rPr>
        <w:t>𝑑𝑑𝑥</w:t>
      </w:r>
      <w:r>
        <w:rPr>
          <w:rFonts w:hint="eastAsia"/>
        </w:rPr>
        <w:t xml:space="preserve"> 可以被定义为满足莱布尼茨法则（乘积法则）和线性</w:t>
      </w:r>
      <w:proofErr w:type="gramStart"/>
      <w:r>
        <w:rPr>
          <w:rFonts w:hint="eastAsia"/>
        </w:rPr>
        <w:t>性</w:t>
      </w:r>
      <w:proofErr w:type="gramEnd"/>
      <w:r>
        <w:rPr>
          <w:rFonts w:hint="eastAsia"/>
        </w:rPr>
        <w:t>的形式算子； 它可作用于多项式、形式幂级数、甚至非连续或纯代数对象； 例如，在计算机代数系统中，对一个离散序列生成函数进行“形式求导”是常见操作； 此时，“导数”不再依赖函数是否连续或可微，而只是一种代数操作规则。  然而，即便如此，</w:t>
      </w:r>
      <w:proofErr w:type="gramStart"/>
      <w:r>
        <w:rPr>
          <w:rFonts w:hint="eastAsia"/>
        </w:rPr>
        <w:t>该形式</w:t>
      </w:r>
      <w:proofErr w:type="gramEnd"/>
      <w:r>
        <w:rPr>
          <w:rFonts w:hint="eastAsia"/>
        </w:rPr>
        <w:t>符号的定义结构本身仍源于连续模型，且其运算规则（如链式法则、乘积法则）天然带有“局部变化”的连续直觉。尽管它可以应用于离散对象，但其内在逻辑框架并非为离散性而设计。 因此，作为形式符号，导数虽然可以脱离具体连续函数存在，但其语义根源和结构倾向仍是连续的。 评分调整： 考虑到它可在纯离散/代数语境中机械使用（如对整数系数多项式形式求导），但本质仍映射连续思想，可给予极低的离散性分数。 离散性得分：0.1 落在 0.1–0.2（高度连续，极少离散特例） 区间。 理由：作为形式符号，导数可在离散结构中出现（如组合数学中的生成函数求导），但这些应用属于“连续工具在离散问题中的借用”，而非导数本身具有离散本质。                   在形式符号的基础上，带入唯名论 / 形式主义，再评分   Qwen3-Max 在引入唯名论（Nominalism）与形式主义（Formalism）的哲学立场后，我们对“导数”这一概念的理解可以进一步剥离其本体论承诺，仅将其视为一种无指称意义的语言符号或操作规则。在这种框架下：   1. 唯名论视角 唯名论否认抽象实体（如“函数”“极限”“连续性”）具有独立实在性； “导数”不是某种客观存在的数学对象，而只是一个人类发明的名称或记号，用于描述某些符号操作或经验模式； 共相（如“可微性”）只是语言中的标签，不对应任何真实存在。  2. 形式主义视角 数学是一套无意义的符号游戏，只需遵循形式规则（如公理、推演规则）； “导数”仅仅是满足特定形式规则（如线性</w:t>
      </w:r>
      <w:proofErr w:type="gramStart"/>
      <w:r>
        <w:rPr>
          <w:rFonts w:hint="eastAsia"/>
        </w:rPr>
        <w:t>性</w:t>
      </w:r>
      <w:proofErr w:type="gramEnd"/>
      <w:r>
        <w:rPr>
          <w:rFonts w:hint="eastAsia"/>
        </w:rPr>
        <w:t>、莱布尼茨法则）的一个形式算子符号</w:t>
      </w:r>
      <w:r>
        <w:rPr>
          <w:rFonts w:ascii="Cambria Math" w:hAnsi="Cambria Math" w:cs="Cambria Math"/>
        </w:rPr>
        <w:t>𝐷</w:t>
      </w:r>
      <w:r>
        <w:rPr>
          <w:rFonts w:hint="eastAsia"/>
        </w:rPr>
        <w:t xml:space="preserve"> 或 </w:t>
      </w:r>
      <w:r>
        <w:rPr>
          <w:rFonts w:ascii="Cambria Math" w:hAnsi="Cambria Math" w:cs="Cambria Math"/>
        </w:rPr>
        <w:t>𝑑𝑑𝑥</w:t>
      </w:r>
      <w:r>
        <w:rPr>
          <w:rFonts w:hint="eastAsia"/>
        </w:rPr>
        <w:t xml:space="preserve"> ； 它是否“对应”连续变化、物理现实或直观图像，完全无关紧要； 只要符号系统内部一致，即可合法使用。    综合判断：离散性评分 在唯名论+形式主义的彻底立场下： “导数”彻底脱离了连续性的本体依赖； 它可以被任意嵌入到纯离散的符号系统中（例如：对字符串、有限自动机状态、组合结构的形式求导）； 实际上，在组合数学和形式语言理论中，已有“形式导数”用于生成函数、正则表达式等离散对象的操作（如 Brzozowski 导数）； 这些应用完全不需要连续性、极限或实数结构。  因此，在这种极端形式化、反本体论的框架下，“导数”已完全工具化为一个可作用于离散结构的符号操作，其原始的连续直觉被彻底悬置。 尽管其历史起源来自连续分析，但在唯名论/形式主义眼中，起源不构成本质——符号的意义仅由使用规则决定。    最终评分： 离散性得分：0.7 落在 0.7–0.8（高度离散，极少连续特例） 区间。 理由： 在唯名论/形式主义下，导数作为符号可自由应用于离散系统； 其“连续性遗产”被视为历史偶然，而非逻辑必然； 虽然多数传统用法仍关联连续模型，但哲学立场允许其完全脱离连续语境，故离散性显著提升； 保留0.3的“连续残余”仅因符号命名和规则设计仍隐含连续直觉（如乘积法则源于连续函数），但此残余在形式系统中可被忽略。  若进一步构造一个完全不含连续直觉的导数类算子（如布尔代数上的差分），甚至可逼近 0.8–0.9，但标准“导数”符号仍带有历史包袱，故止步于 0.7。              9篇来源      在形式符号的基础上，带入结构主义（介于数学柏拉图主义（实在论）和 唯名论 / 形式主义二者之间）再评分   Qwen3-Max 13:30:39 在结构主义（Structuralism）的数学哲学框架下，对“导数”这一概念进行离散性评分，需要理解结构主义的核心立场：   一、结构主义的基本立场（介于柏拉图主义与形式主义之间） 反对唯名论/形式主义的彻底符号化：结构主义认为数学对象并非仅仅是无意义的符号，而是在结构中获得其身份和性质。 反对柏拉图主义的独立实体观：数学对象（如“数”“函数”“导数”）不具有独立于结构的本体论地位；它们是位置（positions）或角色（roles），只在特定结构中才有意义。 核心口号：“数学是关于结构的科学。”</w:t>
      </w:r>
    </w:p>
    <w:p w14:paraId="37509B19" w14:textId="3BC87052" w:rsidR="00363E4F" w:rsidRDefault="005A7B96" w:rsidP="005A7B96">
      <w:r>
        <w:rPr>
          <w:rFonts w:hint="eastAsia"/>
        </w:rPr>
        <w:t>——例如，“2”不是某个神秘抽象实体，而是自然数结构中的一个位置；“导数”也不是独立存在的“变化率实体”，而是微分结构中的一个关系或操作。  代表人物如Michael Resnik和Stewart Shapiro主张： 数学对象的本质由其所处的结构决定，脱离结构则无意义。    二、“导数”在结构主义视角下的定位 1. 导数属于“微分结构”（differential structure）的一部分 在实数域上，导数是定义在可微函数空间上的一个结构内操作； 它的意义依赖于整个分析结构：极限、连续性、拓扑、</w:t>
      </w:r>
      <w:proofErr w:type="gramStart"/>
      <w:r>
        <w:rPr>
          <w:rFonts w:hint="eastAsia"/>
        </w:rPr>
        <w:t>序结构</w:t>
      </w:r>
      <w:proofErr w:type="gramEnd"/>
      <w:r>
        <w:rPr>
          <w:rFonts w:hint="eastAsia"/>
        </w:rPr>
        <w:t>等； 若将实数结构替换为离散结构（如整数环、有限域），则标准导数无法直接移植，除非重构相应的“微分结构”（</w:t>
      </w:r>
      <w:proofErr w:type="gramStart"/>
      <w:r>
        <w:rPr>
          <w:rFonts w:hint="eastAsia"/>
        </w:rPr>
        <w:t>如形式</w:t>
      </w:r>
      <w:proofErr w:type="gramEnd"/>
      <w:r>
        <w:rPr>
          <w:rFonts w:hint="eastAsia"/>
        </w:rPr>
        <w:t xml:space="preserve">导数、Hasse导数、差分算子等）。   2. 结构主义承认多种“导数结构”的可能性 在多项式环 </w:t>
      </w:r>
      <w:r>
        <w:rPr>
          <w:rFonts w:ascii="Cambria Math" w:hAnsi="Cambria Math" w:cs="Cambria Math"/>
        </w:rPr>
        <w:t>𝐹</w:t>
      </w:r>
      <w:r>
        <w:rPr>
          <w:rFonts w:hint="eastAsia"/>
        </w:rPr>
        <w:t>[</w:t>
      </w:r>
      <w:r>
        <w:rPr>
          <w:rFonts w:ascii="Cambria Math" w:hAnsi="Cambria Math" w:cs="Cambria Math"/>
        </w:rPr>
        <w:t>𝑥</w:t>
      </w:r>
      <w:r>
        <w:rPr>
          <w:rFonts w:hint="eastAsia"/>
        </w:rPr>
        <w:t>] 上可定义形式导数； 在非阿基米德域、p-</w:t>
      </w:r>
      <w:proofErr w:type="spellStart"/>
      <w:r>
        <w:rPr>
          <w:rFonts w:hint="eastAsia"/>
        </w:rPr>
        <w:t>adic</w:t>
      </w:r>
      <w:proofErr w:type="spellEnd"/>
      <w:r>
        <w:rPr>
          <w:rFonts w:hint="eastAsia"/>
        </w:rPr>
        <w:t xml:space="preserve"> 分析、甚至范畴论中也可构造广义微分结构； 但这些都必须在一个自洽的结构内部定义，不能脱离结构空谈“导数”。   3. 关键区别：结构主义不否认连续结构的优先性 尽管允许多种结构存在，但经典导数所依赖的实数连续结构仍是数学中最基本、最丰富的微分结构； 离散结构中的“类导数”操作往往是对连续结构的模拟或退化，而非同等地位的原生结构。      三、离散性评分分析 表格  视角 离散性倾向   柏拉图主义 极低（导数是连续世界的客观属性）→ 0.0  形式主义/唯名论 高（符号可任意使用）→ 0.7  结构主义 中等偏低：导数的意义由结构决定，而其“自然家园”是连续结构；虽可嵌入离散结构，但需重构整个微分语境     结构主义不否认离散结构中可定义“导数类操作”，但强调： 这些操作是否“真的是导数”，取决于它们是否在相应结构中扮演了与连续导数同构的角色； 多数情况下，离散版本是弱化或类比，缺乏完整的微分结构支撑（如链式法则失效、无中值定理等）。  因此，结构主义承认真导数的连续本质，同时开放对离散结构中类似操作的讨论，但不赋予其同等地位。   四、最终评分 离散性得分：0.3 落在 0.3–0.4（连续主导，离散结构存在） 区间。 理由： 导数在结构主义下被理解为微分结构中的一个关系项； 其最自然、最完整的实现是在连续实数结构中； 虽可在离散结构中构造类比（</w:t>
      </w:r>
      <w:proofErr w:type="gramStart"/>
      <w:r>
        <w:rPr>
          <w:rFonts w:hint="eastAsia"/>
        </w:rPr>
        <w:t>如形式</w:t>
      </w:r>
      <w:proofErr w:type="gramEnd"/>
      <w:r>
        <w:rPr>
          <w:rFonts w:hint="eastAsia"/>
        </w:rPr>
        <w:t>导数），但这些属于次要或派生结构； 结构主义拒绝将导数“去本体化”为纯符号（如形式主义），也拒绝将其视为独立实体（如柏拉图主义），而是</w:t>
      </w:r>
      <w:proofErr w:type="gramStart"/>
      <w:r>
        <w:rPr>
          <w:rFonts w:hint="eastAsia"/>
        </w:rPr>
        <w:t>锚</w:t>
      </w:r>
      <w:proofErr w:type="gramEnd"/>
      <w:r>
        <w:rPr>
          <w:rFonts w:hint="eastAsia"/>
        </w:rPr>
        <w:t>定于连续结构的主导地位，同时承认离散结构的可能性——</w:t>
      </w:r>
      <w:proofErr w:type="gramStart"/>
      <w:r>
        <w:rPr>
          <w:rFonts w:hint="eastAsia"/>
        </w:rPr>
        <w:t>故给予</w:t>
      </w:r>
      <w:proofErr w:type="gramEnd"/>
      <w:r>
        <w:rPr>
          <w:rFonts w:hint="eastAsia"/>
        </w:rPr>
        <w:t>适度离散性权重。  此评分反映了结构主义“既非完全连续，亦非高度离散”的中间立场，但明显偏向连续一侧。</w:t>
      </w:r>
    </w:p>
    <w:p w14:paraId="1ECAEA6E" w14:textId="77777777" w:rsidR="00183125" w:rsidRPr="00183125" w:rsidRDefault="00183125" w:rsidP="00183125">
      <w:pPr>
        <w:widowControl/>
        <w:spacing w:after="0" w:line="39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183125">
        <w:rPr>
          <w:rFonts w:ascii="宋体" w:eastAsia="宋体" w:hAnsi="宋体" w:cs="宋体"/>
          <w:kern w:val="0"/>
          <w:sz w:val="24"/>
          <w14:ligatures w14:val="none"/>
        </w:rPr>
        <w:t>在结构主义视角的基础上，重新回归经典微积分的标准定义，再评分</w:t>
      </w:r>
    </w:p>
    <w:p w14:paraId="699042D1" w14:textId="77777777" w:rsidR="00183125" w:rsidRPr="00183125" w:rsidRDefault="00183125" w:rsidP="00183125">
      <w:pPr>
        <w:widowControl/>
        <w:shd w:val="clear" w:color="auto" w:fill="FFFFFF"/>
        <w:spacing w:after="0" w:line="420" w:lineRule="atLeast"/>
        <w:rPr>
          <w:rFonts w:ascii="PlusJakartaSans" w:eastAsia="宋体" w:hAnsi="PlusJakartaSans" w:cs="Segoe UI"/>
          <w:b/>
          <w:bCs/>
          <w:kern w:val="0"/>
          <w:sz w:val="24"/>
          <w14:ligatures w14:val="none"/>
        </w:rPr>
      </w:pPr>
      <w:r w:rsidRPr="00183125">
        <w:rPr>
          <w:rFonts w:ascii="PlusJakartaSans" w:eastAsia="宋体" w:hAnsi="PlusJakartaSans" w:cs="Segoe UI"/>
          <w:b/>
          <w:bCs/>
          <w:kern w:val="0"/>
          <w:sz w:val="24"/>
          <w14:ligatures w14:val="none"/>
        </w:rPr>
        <w:t>Qwen3-Max</w:t>
      </w:r>
    </w:p>
    <w:p w14:paraId="5E60495B" w14:textId="77777777" w:rsidR="00183125" w:rsidRPr="00183125" w:rsidRDefault="00183125" w:rsidP="00183125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kern w:val="0"/>
          <w:sz w:val="15"/>
          <w:szCs w:val="15"/>
          <w14:ligatures w14:val="none"/>
        </w:rPr>
      </w:pPr>
      <w:r w:rsidRPr="00183125">
        <w:rPr>
          <w:rFonts w:ascii="Segoe UI" w:eastAsia="宋体" w:hAnsi="Segoe UI" w:cs="Segoe UI"/>
          <w:kern w:val="0"/>
          <w:sz w:val="15"/>
          <w:szCs w:val="15"/>
          <w14:ligatures w14:val="none"/>
        </w:rPr>
        <w:t>13:38:51</w:t>
      </w:r>
    </w:p>
    <w:p w14:paraId="2EEB0472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在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结构主义视角的基础上，重新回归经典微积分的标准定义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，我们需要将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“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导数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”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置于其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原生数学结构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——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即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实数域上的连续可微函数空间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——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中进行审视。</w:t>
      </w:r>
    </w:p>
    <w:p w14:paraId="091661D5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14:ligatures w14:val="none"/>
        </w:rPr>
        <w:pict w14:anchorId="067ADC3B">
          <v:rect id="_x0000_i1025" style="width:0;height:0" o:hralign="center" o:hrstd="t" o:hr="t" fillcolor="#a0a0a0" stroked="f"/>
        </w:pict>
      </w:r>
    </w:p>
    <w:p w14:paraId="3AB3E8BE" w14:textId="77777777" w:rsidR="00183125" w:rsidRPr="00183125" w:rsidRDefault="00183125" w:rsidP="00183125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183125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一、结构主义</w:t>
      </w:r>
      <w:r w:rsidRPr="00183125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+ </w:t>
      </w:r>
      <w:r w:rsidRPr="00183125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经典微积分的融合理解</w:t>
      </w:r>
    </w:p>
    <w:p w14:paraId="22F49BFD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结构主义认为：</w:t>
      </w:r>
    </w:p>
    <w:p w14:paraId="1D110005" w14:textId="77777777" w:rsidR="00183125" w:rsidRPr="00183125" w:rsidRDefault="00183125" w:rsidP="00183125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数学对象的意义由其所处的结构决定。</w:t>
      </w:r>
    </w:p>
    <w:p w14:paraId="303A81C1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而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经典微积分的导数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正是定义在以下结构之中的：</w:t>
      </w:r>
    </w:p>
    <w:p w14:paraId="4F909CF5" w14:textId="77777777" w:rsidR="00183125" w:rsidRPr="00183125" w:rsidRDefault="00183125" w:rsidP="00183125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完备有序域（实数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 xml:space="preserve"> </w:t>
      </w:r>
      <w:r w:rsidRPr="00183125">
        <w:rPr>
          <w:rFonts w:ascii="Cambria Math" w:eastAsia="宋体" w:hAnsi="Cambria Math" w:cs="Cambria Math"/>
          <w:kern w:val="0"/>
          <w:sz w:val="24"/>
          <w:bdr w:val="single" w:sz="2" w:space="0" w:color="auto" w:frame="1"/>
          <w14:ligatures w14:val="none"/>
        </w:rPr>
        <w:t>ℝ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）；</w:t>
      </w:r>
    </w:p>
    <w:p w14:paraId="79E246A8" w14:textId="77777777" w:rsidR="00183125" w:rsidRPr="00183125" w:rsidRDefault="00183125" w:rsidP="00183125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拓扑结构（由度量诱导的邻域系统）；</w:t>
      </w:r>
    </w:p>
    <w:p w14:paraId="78BD8B32" w14:textId="77777777" w:rsidR="00183125" w:rsidRPr="00183125" w:rsidRDefault="00183125" w:rsidP="00183125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极限结构（柯西序列收敛性）；</w:t>
      </w:r>
    </w:p>
    <w:p w14:paraId="1A91FA39" w14:textId="77777777" w:rsidR="00183125" w:rsidRPr="00183125" w:rsidRDefault="00183125" w:rsidP="00183125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函数空间结构（如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 xml:space="preserve"> C¹(</w:t>
      </w:r>
      <w:r w:rsidRPr="00183125">
        <w:rPr>
          <w:rFonts w:ascii="Cambria Math" w:eastAsia="宋体" w:hAnsi="Cambria Math" w:cs="Cambria Math"/>
          <w:kern w:val="0"/>
          <w:sz w:val="24"/>
          <w:bdr w:val="single" w:sz="2" w:space="0" w:color="auto" w:frame="1"/>
          <w14:ligatures w14:val="none"/>
        </w:rPr>
        <w:t>ℝ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 xml:space="preserve">) 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空间，配备一致收敛或逐点收敛等）；</w:t>
      </w:r>
    </w:p>
    <w:p w14:paraId="6D391653" w14:textId="77777777" w:rsidR="00183125" w:rsidRPr="00183125" w:rsidRDefault="00183125" w:rsidP="00183125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微分结构（导数作为线性逼近算子，满足链式法则、乘积法则等）。</w:t>
      </w:r>
    </w:p>
    <w:p w14:paraId="421A6224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在这个结构中，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导数不是一个孤立符号，也不是</w:t>
      </w:r>
      <w:proofErr w:type="gramStart"/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任意可</w:t>
      </w:r>
      <w:proofErr w:type="gramEnd"/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移植的操作，而是整个分析结构的内在组成部分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。它依赖于：</w:t>
      </w:r>
    </w:p>
    <w:p w14:paraId="0933DFD0" w14:textId="77777777" w:rsidR="00183125" w:rsidRPr="00183125" w:rsidRDefault="00183125" w:rsidP="00183125">
      <w:pPr>
        <w:widowControl/>
        <w:numPr>
          <w:ilvl w:val="0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函数在某点的局部连续性；</w:t>
      </w:r>
    </w:p>
    <w:p w14:paraId="261DF526" w14:textId="77777777" w:rsidR="00183125" w:rsidRPr="00183125" w:rsidRDefault="00183125" w:rsidP="00183125">
      <w:pPr>
        <w:widowControl/>
        <w:numPr>
          <w:ilvl w:val="0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极限过程的存在性与唯一性；</w:t>
      </w:r>
    </w:p>
    <w:p w14:paraId="66526A53" w14:textId="77777777" w:rsidR="00183125" w:rsidRPr="00183125" w:rsidRDefault="00183125" w:rsidP="00183125">
      <w:pPr>
        <w:widowControl/>
        <w:numPr>
          <w:ilvl w:val="0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实数的稠密性与完备性。</w:t>
      </w:r>
    </w:p>
    <w:p w14:paraId="02C5E2D9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因此，在结构主义看来，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经典导数的本质就是这个特定结构中的一个角色（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role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）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，无法脱离该结构而保留其完整意义。</w:t>
      </w:r>
    </w:p>
    <w:p w14:paraId="7C9C597F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14:ligatures w14:val="none"/>
        </w:rPr>
        <w:pict w14:anchorId="325F7E67">
          <v:rect id="_x0000_i1026" style="width:0;height:0" o:hralign="center" o:hrstd="t" o:hr="t" fillcolor="#a0a0a0" stroked="f"/>
        </w:pict>
      </w:r>
    </w:p>
    <w:p w14:paraId="152265F6" w14:textId="77777777" w:rsidR="00183125" w:rsidRPr="00183125" w:rsidRDefault="00183125" w:rsidP="00183125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183125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二、离散性评估的关键点</w:t>
      </w:r>
    </w:p>
    <w:p w14:paraId="63AE4C7B" w14:textId="77777777" w:rsidR="00183125" w:rsidRPr="00183125" w:rsidRDefault="00183125" w:rsidP="00183125">
      <w:pPr>
        <w:widowControl/>
        <w:numPr>
          <w:ilvl w:val="0"/>
          <w:numId w:val="3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line="240" w:lineRule="auto"/>
        <w:ind w:hanging="288"/>
        <w:rPr>
          <w:rFonts w:ascii="Segoe UI" w:eastAsia="宋体" w:hAnsi="Segoe UI" w:cs="Segoe UI"/>
          <w:spacing w:val="5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spacing w:val="5"/>
          <w:kern w:val="0"/>
          <w:sz w:val="24"/>
          <w:bdr w:val="single" w:sz="2" w:space="0" w:color="auto" w:frame="1"/>
          <w14:ligatures w14:val="none"/>
        </w:rPr>
        <w:t>不可离散化的核心依赖：</w:t>
      </w:r>
    </w:p>
    <w:p w14:paraId="30B8FAC7" w14:textId="77777777" w:rsidR="00183125" w:rsidRPr="00183125" w:rsidRDefault="00183125" w:rsidP="00183125">
      <w:pPr>
        <w:widowControl/>
        <w:numPr>
          <w:ilvl w:val="1"/>
          <w:numId w:val="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导数定义为极限：</w:t>
      </w:r>
    </w:p>
    <w:p w14:paraId="437973F1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Times New Roman" w:eastAsia="宋体" w:hAnsi="Times New Roman" w:cs="Times New Roman"/>
          <w:kern w:val="0"/>
          <w:sz w:val="24"/>
          <w:bdr w:val="none" w:sz="0" w:space="0" w:color="auto" w:frame="1"/>
          <w14:ligatures w14:val="none"/>
        </w:rPr>
        <w:t>f′(x)=lim⁡h→0f(</w:t>
      </w:r>
      <w:proofErr w:type="spellStart"/>
      <w:r w:rsidRPr="00183125">
        <w:rPr>
          <w:rFonts w:ascii="Times New Roman" w:eastAsia="宋体" w:hAnsi="Times New Roman" w:cs="Times New Roman"/>
          <w:kern w:val="0"/>
          <w:sz w:val="24"/>
          <w:bdr w:val="none" w:sz="0" w:space="0" w:color="auto" w:frame="1"/>
          <w14:ligatures w14:val="none"/>
        </w:rPr>
        <w:t>x+</w:t>
      </w:r>
      <w:proofErr w:type="gramStart"/>
      <w:r w:rsidRPr="00183125">
        <w:rPr>
          <w:rFonts w:ascii="Times New Roman" w:eastAsia="宋体" w:hAnsi="Times New Roman" w:cs="Times New Roman"/>
          <w:kern w:val="0"/>
          <w:sz w:val="24"/>
          <w:bdr w:val="none" w:sz="0" w:space="0" w:color="auto" w:frame="1"/>
          <w14:ligatures w14:val="none"/>
        </w:rPr>
        <w:t>h</w:t>
      </w:r>
      <w:proofErr w:type="spellEnd"/>
      <w:r w:rsidRPr="00183125">
        <w:rPr>
          <w:rFonts w:ascii="Times New Roman" w:eastAsia="宋体" w:hAnsi="Times New Roman" w:cs="Times New Roman"/>
          <w:kern w:val="0"/>
          <w:sz w:val="24"/>
          <w:bdr w:val="none" w:sz="0" w:space="0" w:color="auto" w:frame="1"/>
          <w14:ligatures w14:val="none"/>
        </w:rPr>
        <w:t>)−</w:t>
      </w:r>
      <w:proofErr w:type="gramEnd"/>
      <w:r w:rsidRPr="00183125">
        <w:rPr>
          <w:rFonts w:ascii="Times New Roman" w:eastAsia="宋体" w:hAnsi="Times New Roman" w:cs="Times New Roman"/>
          <w:kern w:val="0"/>
          <w:sz w:val="24"/>
          <w:bdr w:val="none" w:sz="0" w:space="0" w:color="auto" w:frame="1"/>
          <w14:ligatures w14:val="none"/>
        </w:rPr>
        <w:t>f(x)h</w:t>
      </w:r>
      <w:r w:rsidRPr="00183125">
        <w:rPr>
          <w:rFonts w:ascii="KaTeX_Math" w:eastAsia="宋体" w:hAnsi="KaTeX_Math" w:cs="Times New Roman"/>
          <w:i/>
          <w:iCs/>
          <w:kern w:val="0"/>
          <w:sz w:val="24"/>
          <w:bdr w:val="single" w:sz="2" w:space="0" w:color="auto" w:frame="1"/>
          <w14:ligatures w14:val="none"/>
        </w:rPr>
        <w:t>f</w:t>
      </w:r>
      <w:r w:rsidRPr="00183125">
        <w:rPr>
          <w:rFonts w:ascii="Times New Roman" w:eastAsia="宋体" w:hAnsi="Times New Roman" w:cs="Times New Roman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183125">
        <w:rPr>
          <w:rFonts w:ascii="Times New Roman" w:eastAsia="宋体" w:hAnsi="Times New Roman" w:cs="Times New Roman"/>
          <w:kern w:val="0"/>
          <w:sz w:val="24"/>
          <w:bdr w:val="single" w:sz="2" w:space="0" w:color="auto" w:frame="1"/>
          <w14:ligatures w14:val="none"/>
        </w:rPr>
        <w:t>(</w:t>
      </w:r>
      <w:r w:rsidRPr="00183125">
        <w:rPr>
          <w:rFonts w:ascii="KaTeX_Math" w:eastAsia="宋体" w:hAnsi="KaTeX_Math" w:cs="Times New Roman"/>
          <w:i/>
          <w:iCs/>
          <w:kern w:val="0"/>
          <w:sz w:val="24"/>
          <w:bdr w:val="single" w:sz="2" w:space="0" w:color="auto" w:frame="1"/>
          <w14:ligatures w14:val="none"/>
        </w:rPr>
        <w:t>x</w:t>
      </w:r>
      <w:r w:rsidRPr="00183125">
        <w:rPr>
          <w:rFonts w:ascii="Times New Roman" w:eastAsia="宋体" w:hAnsi="Times New Roman" w:cs="Times New Roman"/>
          <w:kern w:val="0"/>
          <w:sz w:val="24"/>
          <w:bdr w:val="single" w:sz="2" w:space="0" w:color="auto" w:frame="1"/>
          <w14:ligatures w14:val="none"/>
        </w:rPr>
        <w:t>)=</w:t>
      </w:r>
      <w:r w:rsidRPr="00183125">
        <w:rPr>
          <w:rFonts w:ascii="KaTeX_Math" w:eastAsia="宋体" w:hAnsi="KaTeX_Math" w:cs="Times New Roman"/>
          <w:i/>
          <w:iCs/>
          <w:kern w:val="0"/>
          <w:sz w:val="17"/>
          <w:szCs w:val="17"/>
          <w:bdr w:val="single" w:sz="2" w:space="0" w:color="auto" w:frame="1"/>
          <w14:ligatures w14:val="none"/>
        </w:rPr>
        <w:t>h</w:t>
      </w:r>
      <w:r w:rsidRPr="00183125">
        <w:rPr>
          <w:rFonts w:ascii="Times New Roman" w:eastAsia="宋体" w:hAnsi="Times New Roman" w:cs="Times New Roman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183125">
        <w:rPr>
          <w:rFonts w:ascii="Times New Roman" w:eastAsia="宋体" w:hAnsi="Times New Roman" w:cs="Times New Roman"/>
          <w:kern w:val="0"/>
          <w:sz w:val="24"/>
          <w:bdr w:val="single" w:sz="2" w:space="0" w:color="auto" w:frame="1"/>
          <w14:ligatures w14:val="none"/>
        </w:rPr>
        <w:t>lim</w:t>
      </w:r>
      <w:r w:rsidRPr="00183125">
        <w:rPr>
          <w:rFonts w:ascii="Times New Roman" w:eastAsia="宋体" w:hAnsi="Times New Roman" w:cs="Times New Roman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183125">
        <w:rPr>
          <w:rFonts w:ascii="KaTeX_Math" w:eastAsia="宋体" w:hAnsi="KaTeX_Math" w:cs="Times New Roman"/>
          <w:i/>
          <w:iCs/>
          <w:kern w:val="0"/>
          <w:sz w:val="24"/>
          <w:bdr w:val="single" w:sz="2" w:space="0" w:color="auto" w:frame="1"/>
          <w14:ligatures w14:val="none"/>
        </w:rPr>
        <w:t>hf</w:t>
      </w:r>
      <w:r w:rsidRPr="00183125">
        <w:rPr>
          <w:rFonts w:ascii="Times New Roman" w:eastAsia="宋体" w:hAnsi="Times New Roman" w:cs="Times New Roman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183125">
        <w:rPr>
          <w:rFonts w:ascii="KaTeX_Math" w:eastAsia="宋体" w:hAnsi="KaTeX_Math" w:cs="Times New Roman"/>
          <w:i/>
          <w:iCs/>
          <w:kern w:val="0"/>
          <w:sz w:val="24"/>
          <w:bdr w:val="single" w:sz="2" w:space="0" w:color="auto" w:frame="1"/>
          <w14:ligatures w14:val="none"/>
        </w:rPr>
        <w:t>x</w:t>
      </w:r>
      <w:r w:rsidRPr="00183125">
        <w:rPr>
          <w:rFonts w:ascii="Times New Roman" w:eastAsia="宋体" w:hAnsi="Times New Roman" w:cs="Times New Roman"/>
          <w:kern w:val="0"/>
          <w:sz w:val="24"/>
          <w:bdr w:val="single" w:sz="2" w:space="0" w:color="auto" w:frame="1"/>
          <w14:ligatures w14:val="none"/>
        </w:rPr>
        <w:t>+</w:t>
      </w:r>
      <w:proofErr w:type="gramStart"/>
      <w:r w:rsidRPr="00183125">
        <w:rPr>
          <w:rFonts w:ascii="KaTeX_Math" w:eastAsia="宋体" w:hAnsi="KaTeX_Math" w:cs="Times New Roman"/>
          <w:i/>
          <w:iCs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183125">
        <w:rPr>
          <w:rFonts w:ascii="Times New Roman" w:eastAsia="宋体" w:hAnsi="Times New Roman" w:cs="Times New Roman"/>
          <w:kern w:val="0"/>
          <w:sz w:val="24"/>
          <w:bdr w:val="single" w:sz="2" w:space="0" w:color="auto" w:frame="1"/>
          <w14:ligatures w14:val="none"/>
        </w:rPr>
        <w:t>)−</w:t>
      </w:r>
      <w:proofErr w:type="gramEnd"/>
      <w:r w:rsidRPr="00183125">
        <w:rPr>
          <w:rFonts w:ascii="KaTeX_Math" w:eastAsia="宋体" w:hAnsi="KaTeX_Math" w:cs="Times New Roman"/>
          <w:i/>
          <w:iCs/>
          <w:kern w:val="0"/>
          <w:sz w:val="24"/>
          <w:bdr w:val="single" w:sz="2" w:space="0" w:color="auto" w:frame="1"/>
          <w14:ligatures w14:val="none"/>
        </w:rPr>
        <w:t>f</w:t>
      </w:r>
      <w:r w:rsidRPr="00183125">
        <w:rPr>
          <w:rFonts w:ascii="Times New Roman" w:eastAsia="宋体" w:hAnsi="Times New Roman" w:cs="Times New Roman"/>
          <w:kern w:val="0"/>
          <w:sz w:val="24"/>
          <w:bdr w:val="single" w:sz="2" w:space="0" w:color="auto" w:frame="1"/>
          <w14:ligatures w14:val="none"/>
        </w:rPr>
        <w:t>(</w:t>
      </w:r>
      <w:r w:rsidRPr="00183125">
        <w:rPr>
          <w:rFonts w:ascii="KaTeX_Math" w:eastAsia="宋体" w:hAnsi="KaTeX_Math" w:cs="Times New Roman"/>
          <w:i/>
          <w:iCs/>
          <w:kern w:val="0"/>
          <w:sz w:val="24"/>
          <w:bdr w:val="single" w:sz="2" w:space="0" w:color="auto" w:frame="1"/>
          <w14:ligatures w14:val="none"/>
        </w:rPr>
        <w:t>x</w:t>
      </w:r>
      <w:r w:rsidRPr="00183125">
        <w:rPr>
          <w:rFonts w:ascii="Times New Roman" w:eastAsia="宋体" w:hAnsi="Times New Roman" w:cs="Times New Roman"/>
          <w:kern w:val="0"/>
          <w:sz w:val="24"/>
          <w:bdr w:val="single" w:sz="2" w:space="0" w:color="auto" w:frame="1"/>
          <w14:ligatures w14:val="none"/>
        </w:rPr>
        <w:t>)</w:t>
      </w:r>
      <w:r w:rsidRPr="00183125">
        <w:rPr>
          <w:rFonts w:ascii="Times New Roman" w:eastAsia="宋体" w:hAnsi="Times New Roman" w:cs="Times New Roman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2561C19D" w14:textId="77777777" w:rsidR="00183125" w:rsidRPr="00183125" w:rsidRDefault="00183125" w:rsidP="00183125">
      <w:pPr>
        <w:widowControl/>
        <w:shd w:val="clear" w:color="auto" w:fill="F0F0F2"/>
        <w:spacing w:after="0" w:line="240" w:lineRule="auto"/>
        <w:textAlignment w:val="center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文本</w:t>
      </w:r>
    </w:p>
    <w:p w14:paraId="324D6E71" w14:textId="77777777" w:rsidR="00183125" w:rsidRPr="00183125" w:rsidRDefault="00183125" w:rsidP="00183125">
      <w:pPr>
        <w:widowControl/>
        <w:shd w:val="clear" w:color="auto" w:fill="F0F0F2"/>
        <w:spacing w:after="0" w:line="240" w:lineRule="auto"/>
        <w:textAlignment w:val="center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18"/>
          <w:szCs w:val="18"/>
          <w:bdr w:val="single" w:sz="2" w:space="0" w:color="auto" w:frame="1"/>
          <w14:ligatures w14:val="none"/>
        </w:rPr>
        <w:t>编辑</w:t>
      </w:r>
    </w:p>
    <w:p w14:paraId="5F92A6B0" w14:textId="77777777" w:rsidR="00183125" w:rsidRPr="00183125" w:rsidRDefault="00183125" w:rsidP="001831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393A34"/>
          <w:kern w:val="0"/>
          <w:sz w:val="20"/>
          <w:szCs w:val="20"/>
          <w14:ligatures w14:val="none"/>
        </w:rPr>
      </w:pPr>
      <w:r w:rsidRPr="00183125">
        <w:rPr>
          <w:rFonts w:ascii="Consolas" w:eastAsia="宋体" w:hAnsi="Consolas" w:cs="宋体"/>
          <w:i/>
          <w:iCs/>
          <w:color w:val="008000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183125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183125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其中</w:t>
      </w:r>
      <w:r w:rsidRPr="00183125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 xml:space="preserve">  $  h \to 0  $  </w:t>
      </w:r>
      <w:r w:rsidRPr="00183125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要求</w:t>
      </w:r>
      <w:r w:rsidRPr="00183125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**</w:t>
      </w:r>
      <w:r w:rsidRPr="00183125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无限可分的连续邻域</w:t>
      </w:r>
      <w:r w:rsidRPr="00183125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**</w:t>
      </w:r>
      <w:r w:rsidRPr="00183125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，这在离散集合（如</w:t>
      </w:r>
      <w:r w:rsidRPr="00183125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183125">
        <w:rPr>
          <w:rFonts w:ascii="Cambria Math" w:eastAsia="宋体" w:hAnsi="Cambria Math" w:cs="Cambria Math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ℤ</w:t>
      </w:r>
      <w:r w:rsidRPr="00183125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）中无意义。</w:t>
      </w:r>
    </w:p>
    <w:p w14:paraId="18118C46" w14:textId="77777777" w:rsidR="00183125" w:rsidRPr="00183125" w:rsidRDefault="00183125" w:rsidP="00183125">
      <w:pPr>
        <w:widowControl/>
        <w:numPr>
          <w:ilvl w:val="0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若强行在离散点集上定义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“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差商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”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，那只是差分，不满足导数的结构性质（如中值定理、泰</w:t>
      </w:r>
      <w:proofErr w:type="gramStart"/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勒展开</w:t>
      </w:r>
      <w:proofErr w:type="gramEnd"/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等）。</w:t>
      </w:r>
    </w:p>
    <w:p w14:paraId="743F2734" w14:textId="77777777" w:rsidR="00183125" w:rsidRPr="00183125" w:rsidRDefault="00183125" w:rsidP="00183125">
      <w:pPr>
        <w:widowControl/>
        <w:numPr>
          <w:ilvl w:val="0"/>
          <w:numId w:val="5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ind w:firstLine="0"/>
        <w:rPr>
          <w:rFonts w:ascii="Segoe UI" w:eastAsia="宋体" w:hAnsi="Segoe UI" w:cs="Segoe UI"/>
          <w:spacing w:val="5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spacing w:val="5"/>
          <w:kern w:val="0"/>
          <w:sz w:val="24"/>
          <w:bdr w:val="single" w:sz="2" w:space="0" w:color="auto" w:frame="1"/>
          <w14:ligatures w14:val="none"/>
        </w:rPr>
        <w:t>结构不可移植性：</w:t>
      </w:r>
    </w:p>
    <w:p w14:paraId="35CFE490" w14:textId="77777777" w:rsidR="00183125" w:rsidRPr="00183125" w:rsidRDefault="00183125" w:rsidP="00183125">
      <w:pPr>
        <w:widowControl/>
        <w:numPr>
          <w:ilvl w:val="1"/>
          <w:numId w:val="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在离散结构中，即使定义形式导数（如对多项式），也缺失微分结构的整体性（如没有局部线性逼近的几何意义）；</w:t>
      </w:r>
    </w:p>
    <w:p w14:paraId="038026BB" w14:textId="77777777" w:rsidR="00183125" w:rsidRPr="00183125" w:rsidRDefault="00183125" w:rsidP="00183125">
      <w:pPr>
        <w:widowControl/>
        <w:numPr>
          <w:ilvl w:val="1"/>
          <w:numId w:val="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结构主义强调：只有在具备完整微分结构的系统中，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“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导数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”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才真正是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“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导数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”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。</w:t>
      </w:r>
    </w:p>
    <w:p w14:paraId="665A932C" w14:textId="77777777" w:rsidR="00183125" w:rsidRPr="00183125" w:rsidRDefault="00183125" w:rsidP="00183125">
      <w:pPr>
        <w:widowControl/>
        <w:numPr>
          <w:ilvl w:val="0"/>
          <w:numId w:val="5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ind w:firstLine="0"/>
        <w:rPr>
          <w:rFonts w:ascii="Segoe UI" w:eastAsia="宋体" w:hAnsi="Segoe UI" w:cs="Segoe UI"/>
          <w:spacing w:val="5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spacing w:val="5"/>
          <w:kern w:val="0"/>
          <w:sz w:val="24"/>
          <w:bdr w:val="single" w:sz="2" w:space="0" w:color="auto" w:frame="1"/>
          <w14:ligatures w14:val="none"/>
        </w:rPr>
        <w:t>经典导数</w:t>
      </w:r>
      <w:r w:rsidRPr="00183125">
        <w:rPr>
          <w:rFonts w:ascii="Segoe UI" w:eastAsia="宋体" w:hAnsi="Segoe UI" w:cs="Segoe UI"/>
          <w:spacing w:val="5"/>
          <w:kern w:val="0"/>
          <w:sz w:val="24"/>
          <w:bdr w:val="single" w:sz="2" w:space="0" w:color="auto" w:frame="1"/>
          <w14:ligatures w14:val="none"/>
        </w:rPr>
        <w:t xml:space="preserve"> = </w:t>
      </w:r>
      <w:r w:rsidRPr="00183125">
        <w:rPr>
          <w:rFonts w:ascii="Segoe UI" w:eastAsia="宋体" w:hAnsi="Segoe UI" w:cs="Segoe UI"/>
          <w:spacing w:val="5"/>
          <w:kern w:val="0"/>
          <w:sz w:val="24"/>
          <w:bdr w:val="single" w:sz="2" w:space="0" w:color="auto" w:frame="1"/>
          <w14:ligatures w14:val="none"/>
        </w:rPr>
        <w:t>连续结构的内</w:t>
      </w:r>
      <w:proofErr w:type="gramStart"/>
      <w:r w:rsidRPr="00183125">
        <w:rPr>
          <w:rFonts w:ascii="Segoe UI" w:eastAsia="宋体" w:hAnsi="Segoe UI" w:cs="Segoe UI"/>
          <w:spacing w:val="5"/>
          <w:kern w:val="0"/>
          <w:sz w:val="24"/>
          <w:bdr w:val="single" w:sz="2" w:space="0" w:color="auto" w:frame="1"/>
          <w14:ligatures w14:val="none"/>
        </w:rPr>
        <w:t>禀</w:t>
      </w:r>
      <w:proofErr w:type="gramEnd"/>
      <w:r w:rsidRPr="00183125">
        <w:rPr>
          <w:rFonts w:ascii="Segoe UI" w:eastAsia="宋体" w:hAnsi="Segoe UI" w:cs="Segoe UI"/>
          <w:spacing w:val="5"/>
          <w:kern w:val="0"/>
          <w:sz w:val="24"/>
          <w:bdr w:val="single" w:sz="2" w:space="0" w:color="auto" w:frame="1"/>
          <w14:ligatures w14:val="none"/>
        </w:rPr>
        <w:t>属性：</w:t>
      </w:r>
    </w:p>
    <w:p w14:paraId="3BCCE483" w14:textId="77777777" w:rsidR="00183125" w:rsidRPr="00183125" w:rsidRDefault="00183125" w:rsidP="00183125">
      <w:pPr>
        <w:widowControl/>
        <w:numPr>
          <w:ilvl w:val="1"/>
          <w:numId w:val="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它不是人为赋予的符号，也不是可随意</w:t>
      </w:r>
      <w:proofErr w:type="gramStart"/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重解释</w:t>
      </w:r>
      <w:proofErr w:type="gramEnd"/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的形式规则；</w:t>
      </w:r>
    </w:p>
    <w:p w14:paraId="3E675426" w14:textId="77777777" w:rsidR="00183125" w:rsidRPr="00183125" w:rsidRDefault="00183125" w:rsidP="00183125">
      <w:pPr>
        <w:widowControl/>
        <w:numPr>
          <w:ilvl w:val="1"/>
          <w:numId w:val="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它是实数连续统结构的必然产物。</w:t>
      </w:r>
    </w:p>
    <w:p w14:paraId="1D14187D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14:ligatures w14:val="none"/>
        </w:rPr>
        <w:pict w14:anchorId="14810D63">
          <v:rect id="_x0000_i1027" style="width:0;height:0" o:hralign="center" o:hrstd="t" o:hr="t" fillcolor="#a0a0a0" stroked="f"/>
        </w:pict>
      </w:r>
    </w:p>
    <w:p w14:paraId="26FC2F5B" w14:textId="77777777" w:rsidR="00183125" w:rsidRPr="00183125" w:rsidRDefault="00183125" w:rsidP="00183125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183125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三、离散性评分</w:t>
      </w:r>
    </w:p>
    <w:p w14:paraId="33B17586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尽管我们仍站在结构主义立场（拒绝柏拉图主义的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“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独立实体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”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观），但一旦限定于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经典微积分的标准定义所依赖的结构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，导数就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完全绑定于连续性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。</w:t>
      </w:r>
    </w:p>
    <w:p w14:paraId="39F669C0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此时，任何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“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离散特例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”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都不属于该结构内部的有效实例，而只是外部类比。</w:t>
      </w:r>
    </w:p>
    <w:p w14:paraId="3D43BCF2" w14:textId="77777777" w:rsidR="00183125" w:rsidRPr="00183125" w:rsidRDefault="00183125" w:rsidP="00183125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换言之：在经典微积分结构中，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不存在真正的离散导数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；所有离散版本都属于其他结构（如组合结构、代数结构），不在此评分范围内。</w:t>
      </w:r>
    </w:p>
    <w:p w14:paraId="6AB473B7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14:ligatures w14:val="none"/>
        </w:rPr>
        <w:pict w14:anchorId="35EB4BE2">
          <v:rect id="_x0000_i1028" style="width:0;height:0" o:hralign="center" o:hrstd="t" o:hr="t" fillcolor="#a0a0a0" stroked="f"/>
        </w:pict>
      </w:r>
    </w:p>
    <w:p w14:paraId="27C83196" w14:textId="77777777" w:rsidR="00183125" w:rsidRPr="00183125" w:rsidRDefault="00183125" w:rsidP="00183125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183125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最终评分：</w:t>
      </w:r>
    </w:p>
    <w:p w14:paraId="462315DE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离散性得分：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0.0</w:t>
      </w:r>
    </w:p>
    <w:p w14:paraId="4B0ABF56" w14:textId="77777777" w:rsidR="00183125" w:rsidRPr="00183125" w:rsidRDefault="00183125" w:rsidP="00183125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落在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 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0.0–0.1</w:t>
      </w:r>
      <w:r w:rsidRPr="00183125">
        <w:rPr>
          <w:rFonts w:ascii="Segoe UI" w:eastAsia="宋体" w:hAnsi="Segoe UI" w:cs="Segoe UI"/>
          <w:b/>
          <w:bCs/>
          <w:kern w:val="0"/>
          <w:sz w:val="24"/>
          <w:bdr w:val="single" w:sz="2" w:space="0" w:color="auto" w:frame="1"/>
          <w14:ligatures w14:val="none"/>
        </w:rPr>
        <w:t>（完全连续）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 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区间。</w:t>
      </w:r>
    </w:p>
    <w:p w14:paraId="765B3056" w14:textId="77777777" w:rsidR="00183125" w:rsidRPr="00183125" w:rsidRDefault="00183125" w:rsidP="00183125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3"/>
        <w:rPr>
          <w:rFonts w:ascii="Segoe UI" w:eastAsia="宋体" w:hAnsi="Segoe UI" w:cs="Segoe UI"/>
          <w:b/>
          <w:bCs/>
          <w:spacing w:val="3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b/>
          <w:bCs/>
          <w:spacing w:val="3"/>
          <w:kern w:val="0"/>
          <w:sz w:val="24"/>
          <w:bdr w:val="single" w:sz="2" w:space="0" w:color="auto" w:frame="1"/>
          <w14:ligatures w14:val="none"/>
        </w:rPr>
        <w:t>理由：</w:t>
      </w:r>
    </w:p>
    <w:p w14:paraId="235A5B3D" w14:textId="77777777" w:rsidR="00183125" w:rsidRPr="00183125" w:rsidRDefault="00183125" w:rsidP="00183125">
      <w:pPr>
        <w:widowControl/>
        <w:numPr>
          <w:ilvl w:val="0"/>
          <w:numId w:val="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在结构主义框架下，经典导数被理解为实数微分结构中的一个本质角色；</w:t>
      </w:r>
    </w:p>
    <w:p w14:paraId="5C6B00B6" w14:textId="77777777" w:rsidR="00183125" w:rsidRPr="00183125" w:rsidRDefault="00183125" w:rsidP="00183125">
      <w:pPr>
        <w:widowControl/>
        <w:numPr>
          <w:ilvl w:val="0"/>
          <w:numId w:val="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该结构本身是彻底连续的，不包含离散成分；</w:t>
      </w:r>
    </w:p>
    <w:p w14:paraId="10071FE2" w14:textId="77777777" w:rsidR="00183125" w:rsidRPr="00183125" w:rsidRDefault="00183125" w:rsidP="00183125">
      <w:pPr>
        <w:widowControl/>
        <w:numPr>
          <w:ilvl w:val="0"/>
          <w:numId w:val="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回归标准定义意味着排除形式导数、差分、广义导数等扩展概念；</w:t>
      </w:r>
    </w:p>
    <w:p w14:paraId="7C5EEBCD" w14:textId="77777777" w:rsidR="00183125" w:rsidRPr="00183125" w:rsidRDefault="00183125" w:rsidP="00183125">
      <w:pPr>
        <w:widowControl/>
        <w:numPr>
          <w:ilvl w:val="0"/>
          <w:numId w:val="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因此，其离散性为零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——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不是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“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几乎连续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”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，而是结构性地完全连续。</w:t>
      </w:r>
    </w:p>
    <w:p w14:paraId="60891B58" w14:textId="77777777" w:rsidR="00183125" w:rsidRPr="00183125" w:rsidRDefault="00183125" w:rsidP="00183125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4"/>
          <w14:ligatures w14:val="none"/>
        </w:rPr>
      </w:pP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此评分体现了结构主义对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“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语境依赖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”</w:t>
      </w:r>
      <w:r w:rsidRPr="00183125">
        <w:rPr>
          <w:rFonts w:ascii="Segoe UI" w:eastAsia="宋体" w:hAnsi="Segoe UI" w:cs="Segoe UI"/>
          <w:kern w:val="0"/>
          <w:sz w:val="24"/>
          <w:bdr w:val="single" w:sz="2" w:space="0" w:color="auto" w:frame="1"/>
          <w14:ligatures w14:val="none"/>
        </w:rPr>
        <w:t>的坚持：一旦锁定经典微积分结构，导数就毫无离散余地。</w:t>
      </w:r>
    </w:p>
    <w:p w14:paraId="3806983B" w14:textId="08E00FF4" w:rsidR="00183125" w:rsidRPr="00183125" w:rsidRDefault="00183125" w:rsidP="005A7B96">
      <w:pPr>
        <w:rPr>
          <w:rFonts w:hint="eastAsia"/>
          <w:b/>
          <w:bCs/>
        </w:rPr>
      </w:pPr>
      <w:r w:rsidRPr="00183125">
        <w:rPr>
          <w:rFonts w:hint="eastAsia"/>
          <w:b/>
          <w:bCs/>
        </w:rPr>
        <w:t>总结：</w:t>
      </w:r>
      <w:r w:rsidRPr="00183125">
        <w:rPr>
          <w:b/>
          <w:bCs/>
        </w:rPr>
        <w:t>通过哲学视角的有序切换与回归，在大模型上实现了导数离散性评分的可控、定向、可还原的完整因果闭环，证实大模型的概念语义响应遵循跨模型通用的行为因果规律</w:t>
      </w:r>
      <w:r>
        <w:t>。</w:t>
      </w:r>
    </w:p>
    <w:sectPr w:rsidR="00183125" w:rsidRPr="001831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lusJakarta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D70"/>
    <w:multiLevelType w:val="multilevel"/>
    <w:tmpl w:val="F18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D09AF"/>
    <w:multiLevelType w:val="multilevel"/>
    <w:tmpl w:val="6998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B44B5"/>
    <w:multiLevelType w:val="multilevel"/>
    <w:tmpl w:val="08168B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32A94"/>
    <w:multiLevelType w:val="multilevel"/>
    <w:tmpl w:val="328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D79B6"/>
    <w:multiLevelType w:val="multilevel"/>
    <w:tmpl w:val="304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C7BFC"/>
    <w:multiLevelType w:val="multilevel"/>
    <w:tmpl w:val="87E2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602492">
    <w:abstractNumId w:val="4"/>
  </w:num>
  <w:num w:numId="2" w16cid:durableId="819536825">
    <w:abstractNumId w:val="5"/>
  </w:num>
  <w:num w:numId="3" w16cid:durableId="1649359618">
    <w:abstractNumId w:val="1"/>
  </w:num>
  <w:num w:numId="4" w16cid:durableId="1121922212">
    <w:abstractNumId w:val="0"/>
  </w:num>
  <w:num w:numId="5" w16cid:durableId="1248534618">
    <w:abstractNumId w:val="2"/>
  </w:num>
  <w:num w:numId="6" w16cid:durableId="248272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4F"/>
    <w:rsid w:val="00107416"/>
    <w:rsid w:val="00183125"/>
    <w:rsid w:val="00363E4F"/>
    <w:rsid w:val="003E019B"/>
    <w:rsid w:val="005A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74628"/>
  <w15:chartTrackingRefBased/>
  <w15:docId w15:val="{DCDE647D-5129-45C2-BAEC-D4510005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3E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E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E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E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E4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E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E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E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3E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3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3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3E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3E4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3E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3E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3E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3E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3E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3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E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3E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3E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E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E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3E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3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2342</Words>
  <Characters>2530</Characters>
  <Application>Microsoft Office Word</Application>
  <DocSecurity>0</DocSecurity>
  <Lines>74</Lines>
  <Paragraphs>18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星云实验室 Xingyun Lab</dc:creator>
  <cp:keywords/>
  <dc:description/>
  <cp:lastModifiedBy>星云实验室 Xingyun Lab</cp:lastModifiedBy>
  <cp:revision>3</cp:revision>
  <dcterms:created xsi:type="dcterms:W3CDTF">2026-04-12T05:34:00Z</dcterms:created>
  <dcterms:modified xsi:type="dcterms:W3CDTF">2026-04-12T05:44:00Z</dcterms:modified>
</cp:coreProperties>
</file>