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Times New Roman" w:hAnsi="Times New Roman" w:eastAsia="宋体"/>
          <w:b/>
          <w:sz w:val="22"/>
        </w:rPr>
        <w:t>基于智能手机摄像头与IMU的轻量表面材质识别技术研究</w:t>
      </w:r>
      <w:r>
        <w:rPr>
          <w:rFonts w:ascii="Times New Roman" w:hAnsi="Times New Roman" w:eastAsia="宋体"/>
          <w:b w:val="0"/>
          <w:sz w:val="21"/>
        </w:rPr>
        <w:t xml:space="preserve">          2025.12 – 至今</w:t>
      </w:r>
    </w:p>
    <w:p>
      <w:pPr>
        <w:spacing w:before="0" w:after="40"/>
      </w:pPr>
      <w:r>
        <w:rPr>
          <w:rFonts w:ascii="Times New Roman" w:hAnsi="Times New Roman" w:eastAsia="宋体"/>
          <w:b/>
          <w:sz w:val="21"/>
        </w:rPr>
        <w:t>项目背景：</w:t>
      </w:r>
      <w:r>
        <w:rPr>
          <w:rFonts w:ascii="Times New Roman" w:hAnsi="Times New Roman" w:eastAsia="宋体"/>
          <w:b w:val="0"/>
          <w:sz w:val="21"/>
        </w:rPr>
        <w:t>面向机器人操作与具身智能交互的实时材质感知需求，研究利用智能手机摄像头（表面纹理图像）与IMU（触摸微振动信号）进行多模态融合的轻量表面材质识别方法，兼顾识别精度与端侧低延迟部署。</w:t>
      </w:r>
    </w:p>
    <w:p>
      <w:pPr>
        <w:spacing w:before="0" w:after="40"/>
      </w:pPr>
      <w:r>
        <w:rPr>
          <w:rFonts w:ascii="Times New Roman" w:hAnsi="Times New Roman" w:eastAsia="宋体"/>
          <w:b/>
          <w:sz w:val="21"/>
        </w:rPr>
        <w:t>项目内容：</w:t>
      </w:r>
      <w:r>
        <w:rPr>
          <w:rFonts w:ascii="Times New Roman" w:hAnsi="Times New Roman" w:eastAsia="宋体"/>
          <w:b w:val="0"/>
          <w:sz w:val="21"/>
        </w:rPr>
        <w:t>图像分支：以MINC-2500为数据集，使用EfficientNet-B0结合随机裁剪增强策略，在23类材质分类任务上测试准确率达82.4%；</w:t>
      </w:r>
    </w:p>
    <w:p>
      <w:pPr>
        <w:spacing w:before="0" w:after="40"/>
        <w:ind w:left="283"/>
      </w:pPr>
      <w:r>
        <w:rPr>
          <w:rFonts w:ascii="Times New Roman" w:hAnsi="Times New Roman" w:eastAsia="宋体"/>
          <w:b w:val="0"/>
          <w:sz w:val="21"/>
        </w:rPr>
        <w:t>IMU分支：以多模态触觉纹理数据集为基础，构建trial-level无泄露划分，1D-CNN完成12类纹理识别准确率94%，并开展跨速度OOD泛化评估；</w:t>
      </w:r>
    </w:p>
    <w:p>
      <w:pPr>
        <w:spacing w:before="0" w:after="40"/>
        <w:ind w:left="283"/>
      </w:pPr>
      <w:r>
        <w:rPr>
          <w:rFonts w:ascii="Times New Roman" w:hAnsi="Times New Roman" w:eastAsia="宋体"/>
          <w:b w:val="0"/>
          <w:sz w:val="21"/>
        </w:rPr>
        <w:t>多模态融合（进行中）：规划采用late fusion + 少样本适配策略，对齐图像与IMU编码器输出，支持向新设备迁移。</w:t>
      </w:r>
    </w:p>
    <w:p>
      <w:pPr>
        <w:spacing w:before="0" w:after="40"/>
      </w:pPr>
      <w:r>
        <w:rPr>
          <w:rFonts w:ascii="Times New Roman" w:hAnsi="Times New Roman" w:eastAsia="宋体"/>
          <w:b/>
          <w:sz w:val="21"/>
        </w:rPr>
        <w:t>主要困难与解决方案：</w:t>
      </w:r>
      <w:r>
        <w:rPr>
          <w:rFonts w:ascii="Times New Roman" w:hAnsi="Times New Roman" w:eastAsia="宋体"/>
          <w:b w:val="0"/>
          <w:sz w:val="21"/>
        </w:rPr>
        <w:t>数据泄露：IMU滑窗切分致相邻窗口同时进入训练/测试集，指标虚高；改用按采集trial划分（trial-level split），评估更可靠；</w:t>
      </w:r>
    </w:p>
    <w:p>
      <w:pPr>
        <w:spacing w:before="0" w:after="40"/>
        <w:ind w:left="283"/>
      </w:pPr>
      <w:r>
        <w:rPr>
          <w:rFonts w:ascii="Times New Roman" w:hAnsi="Times New Roman" w:eastAsia="宋体"/>
          <w:b w:val="0"/>
          <w:sz w:val="21"/>
        </w:rPr>
        <w:t>跨速度泛化：设计cross-velocity OOD实验框架，验证不同采集速度下的模型鲁棒性；</w:t>
      </w:r>
    </w:p>
    <w:p>
      <w:pPr>
        <w:spacing w:before="0" w:after="40"/>
        <w:ind w:left="283"/>
      </w:pPr>
      <w:r>
        <w:rPr>
          <w:rFonts w:ascii="Times New Roman" w:hAnsi="Times New Roman" w:eastAsia="宋体"/>
          <w:b w:val="0"/>
          <w:sz w:val="21"/>
        </w:rPr>
        <w:t>轻量化与精度平衡：系统开展分辨率（224/192/160）与骨干网络（MobileNetV3-Large/Small vs EfficientNet-B0）消融，确定EfficientNet-B0@192为最优方案。</w:t>
      </w:r>
    </w:p>
    <w:p>
      <w:pPr>
        <w:spacing w:before="0" w:after="40"/>
      </w:pPr>
      <w:r>
        <w:rPr>
          <w:rFonts w:ascii="Times New Roman" w:hAnsi="Times New Roman" w:eastAsia="宋体"/>
          <w:b/>
          <w:sz w:val="21"/>
        </w:rPr>
        <w:t>展望：</w:t>
      </w:r>
      <w:r>
        <w:rPr>
          <w:rFonts w:ascii="Times New Roman" w:hAnsi="Times New Roman" w:eastAsia="宋体"/>
          <w:b w:val="0"/>
          <w:sz w:val="21"/>
        </w:rPr>
        <w:t>完成同步图像+IMU多模态融合实验；实现少样本快速适配机制；完成端侧部署优化，目标端到端延迟低于50ms。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