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  <w:spacing w:before="0" w:after="80"/>
      </w:pPr>
      <w:r>
        <w:rPr>
          <w:rFonts w:ascii="宋体" w:hAnsi="宋体" w:eastAsia="宋体"/>
          <w:b/>
          <w:i w:val="0"/>
          <w:color w:val="1F497D"/>
          <w:sz w:val="28"/>
        </w:rPr>
        <w:t>基于 GroundingDINO 的开放词汇目标检测模型结构压缩与推理加速研究</w:t>
      </w:r>
    </w:p>
    <w:p>
      <w:pPr>
        <w:jc w:val="center"/>
        <w:spacing w:before="0" w:after="160"/>
      </w:pPr>
      <w:r>
        <w:rPr>
          <w:rFonts w:ascii="宋体" w:hAnsi="宋体" w:eastAsia="宋体"/>
          <w:b w:val="0"/>
          <w:i w:val="0"/>
          <w:color w:val="595959"/>
          <w:sz w:val="20"/>
        </w:rPr>
        <w:t>2026.01 – 至今</w:t>
      </w:r>
    </w:p>
    <w:p>
      <w:pPr>
        <w:spacing w:before="40" w:after="40"/>
        <w:pBdr>
          <w:bottom w:val="single" w:sz="6" w:space="1" w:color="4472C4"/>
        </w:pBdr>
      </w:pPr>
    </w:p>
    <w:p>
      <w:pPr>
        <w:spacing w:before="180" w:after="60"/>
      </w:pPr>
      <w:r>
        <w:rPr>
          <w:rFonts w:ascii="黑体" w:hAnsi="黑体" w:eastAsia="黑体"/>
          <w:b/>
          <w:color w:val="1F497D"/>
          <w:sz w:val="22"/>
          <w:u w:val="single"/>
        </w:rPr>
        <w:t>个人简介</w:t>
      </w:r>
    </w:p>
    <w:p>
      <w:pPr>
        <w:spacing w:before="60" w:after="80"/>
        <w:ind w:left="227"/>
      </w:pPr>
      <w:r>
        <w:rPr>
          <w:rFonts w:ascii="宋体" w:hAnsi="宋体" w:eastAsia="宋体"/>
          <w:sz w:val="21"/>
        </w:rPr>
        <w:t>计算机视觉方向研究者，专注于多模态目标检测模型的结构优化与推理加速。熟悉 PyTorch 分布式训练（DDP/AMP）及 Transformer 架构（DETR、Deformable-DETR、GroundingDINO），具备从数据预处理、模型训练到性能评估的完整工程实践能力。擅长通过自研 Profiling 工具将性能瓶颈量化定位，并在层剪枝、注意力降采样、混合精度稳定化、轻量化编码器替换等方向积累了系统性经验；代码能力扎实，能够独立解决预训练权重兼容性、多编码器接口适配、量化数值稳定性等复杂工程问题，具备良好的科研素养与面向部署的工程意识。</w:t>
      </w:r>
    </w:p>
    <w:p>
      <w:pPr>
        <w:spacing w:before="40" w:after="40"/>
        <w:pBdr>
          <w:bottom w:val="single" w:sz="6" w:space="1" w:color="4472C4"/>
        </w:pBdr>
      </w:pPr>
    </w:p>
    <w:p>
      <w:pPr>
        <w:spacing w:before="180" w:after="60"/>
      </w:pPr>
      <w:r>
        <w:rPr>
          <w:rFonts w:ascii="黑体" w:hAnsi="黑体" w:eastAsia="黑体"/>
          <w:b/>
          <w:color w:val="1F497D"/>
          <w:sz w:val="22"/>
        </w:rPr>
        <w:t>项目背景</w:t>
      </w:r>
    </w:p>
    <w:p>
      <w:pPr>
        <w:spacing w:before="40" w:after="80"/>
      </w:pPr>
      <w:r>
        <w:rPr>
          <w:rFonts w:ascii="宋体" w:hAnsi="宋体" w:eastAsia="宋体"/>
          <w:sz w:val="21"/>
        </w:rPr>
        <w:t>GroundingDINO 以视觉-语言跨模态融合实现开放词汇检测，但存在 Object Queries 严重冗余、跨模态融合模块（BiAttentionBlock）延迟随文本长度二次方增长等部署瓶颈。本项目基于 Open-GroundingDINO，系统开展结构剪枝与推理加速，目标精度损失 ≤5%、显存从 12 GB 降至 10 GB 以内。</w:t>
      </w:r>
    </w:p>
    <w:p>
      <w:pPr>
        <w:spacing w:before="40" w:after="40"/>
        <w:pBdr>
          <w:bottom w:val="single" w:sz="6" w:space="1" w:color="4472C4"/>
        </w:pBdr>
      </w:pPr>
    </w:p>
    <w:p>
      <w:pPr>
        <w:spacing w:before="180" w:after="60"/>
      </w:pPr>
      <w:r>
        <w:rPr>
          <w:rFonts w:ascii="黑体" w:hAnsi="黑体" w:eastAsia="黑体"/>
          <w:b/>
          <w:color w:val="1F497D"/>
          <w:sz w:val="22"/>
        </w:rPr>
        <w:t>主要工作</w:t>
      </w:r>
    </w:p>
    <w:p>
      <w:pPr>
        <w:spacing w:before="50" w:after="50"/>
        <w:ind w:left="227"/>
      </w:pPr>
      <w:r>
        <w:rPr>
          <w:rFonts w:ascii="宋体" w:hAnsi="宋体" w:eastAsia="宋体"/>
          <w:sz w:val="21"/>
        </w:rPr>
        <w:t>▸ 复现与基准建立：完成 COCO 2017 ODVG 转换 + 双卡 DDP 训练全流程，Baseline AP = 0.552，实验波动 ≤ 0.002。</w:t>
      </w:r>
    </w:p>
    <w:p>
      <w:pPr>
        <w:spacing w:before="50" w:after="50"/>
        <w:ind w:left="227"/>
      </w:pPr>
      <w:r>
        <w:rPr>
          <w:rFonts w:ascii="宋体" w:hAnsi="宋体" w:eastAsia="宋体"/>
          <w:sz w:val="21"/>
        </w:rPr>
        <w:t>▸ Queries 冗余分析：num_queries 900→200 精度不变（ΔAP&lt;0.003）；Top-K Pruning 无效；Profiling 定位瓶颈为 enc_fusion（BiAttentionBlock，占增量 98%）。</w:t>
      </w:r>
    </w:p>
    <w:p>
      <w:pPr>
        <w:spacing w:before="50" w:after="50"/>
        <w:ind w:left="227"/>
      </w:pPr>
      <w:r>
        <w:rPr>
          <w:rFonts w:ascii="宋体" w:hAnsi="宋体" w:eastAsia="宋体"/>
          <w:sz w:val="21"/>
        </w:rPr>
        <w:t>▸ 四阶段轻量化：层剪枝（Enc 6→4, Dec 6→3）→ Cross-Attn 降采样（points 4→2）→ AMP 稳定化（offset clamp + FP32 softmax）→ DistilBERT 替换。</w:t>
      </w:r>
    </w:p>
    <w:p>
      <w:pPr>
        <w:spacing w:before="50" w:after="50"/>
        <w:ind w:left="227"/>
      </w:pPr>
      <w:r>
        <w:rPr>
          <w:rFonts w:ascii="宋体" w:hAnsi="宋体" w:eastAsia="宋体"/>
          <w:sz w:val="21"/>
        </w:rPr>
        <w:t>▸ 延迟分析：文本编码器延迟恒定 ~4 ms；&gt;97% 延迟增量来自 enc_fusion（softmax/bmm 随文本长度二次方增长），指明 Token Pruning / Flash Attention 优化方向。</w:t>
      </w:r>
    </w:p>
    <w:p>
      <w:pPr>
        <w:spacing w:before="40" w:after="40"/>
        <w:pBdr>
          <w:bottom w:val="single" w:sz="6" w:space="1" w:color="4472C4"/>
        </w:pBdr>
      </w:pPr>
    </w:p>
    <w:p>
      <w:pPr>
        <w:spacing w:before="180" w:after="60"/>
      </w:pPr>
      <w:r>
        <w:rPr>
          <w:rFonts w:ascii="黑体" w:hAnsi="黑体" w:eastAsia="黑体"/>
          <w:b/>
          <w:color w:val="1F497D"/>
          <w:sz w:val="22"/>
        </w:rPr>
        <w:t>性能提升</w:t>
      </w:r>
    </w:p>
    <w:p>
      <w:pPr>
        <w:spacing w:before="40" w:after="80"/>
      </w:pPr>
      <w:r>
        <w:rPr>
          <w:rFonts w:ascii="宋体" w:hAnsi="宋体" w:eastAsia="宋体"/>
          <w:sz w:val="21"/>
        </w:rPr>
        <w:t>四阶段轻量化配置较 Baseline：训练提速 31%（21 min→15 min），显存降低 20%（12.2 GB→9.8 GB），AP 损失 &lt;4%（0.552→0.512）。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436"/>
        <w:gridCol w:w="2436"/>
        <w:gridCol w:w="2436"/>
        <w:gridCol w:w="2436"/>
      </w:tblGrid>
      <w:tr>
        <w:tc>
          <w:tcPr>
            <w:tcW w:type="dxa" w:w="2436"/>
          </w:tcPr>
          <w:p>
            <w:pPr>
              <w:jc w:val="center"/>
            </w:pPr>
            <w:r>
              <w:rPr>
                <w:rFonts w:ascii="宋体" w:hAnsi="宋体" w:eastAsia="宋体"/>
                <w:b/>
                <w:sz w:val="18"/>
              </w:rPr>
              <w:t>配置</w:t>
            </w:r>
          </w:p>
        </w:tc>
        <w:tc>
          <w:tcPr>
            <w:tcW w:type="dxa" w:w="2436"/>
          </w:tcPr>
          <w:p>
            <w:pPr>
              <w:jc w:val="center"/>
            </w:pPr>
            <w:r>
              <w:rPr>
                <w:rFonts w:ascii="宋体" w:hAnsi="宋体" w:eastAsia="宋体"/>
                <w:b/>
                <w:sz w:val="18"/>
              </w:rPr>
              <w:t>AP</w:t>
            </w:r>
          </w:p>
        </w:tc>
        <w:tc>
          <w:tcPr>
            <w:tcW w:type="dxa" w:w="2436"/>
          </w:tcPr>
          <w:p>
            <w:pPr>
              <w:jc w:val="center"/>
            </w:pPr>
            <w:r>
              <w:rPr>
                <w:rFonts w:ascii="宋体" w:hAnsi="宋体" w:eastAsia="宋体"/>
                <w:b/>
                <w:sz w:val="18"/>
              </w:rPr>
              <w:t>Epoch 时长</w:t>
            </w:r>
          </w:p>
        </w:tc>
        <w:tc>
          <w:tcPr>
            <w:tcW w:type="dxa" w:w="2436"/>
          </w:tcPr>
          <w:p>
            <w:pPr>
              <w:jc w:val="center"/>
            </w:pPr>
            <w:r>
              <w:rPr>
                <w:rFonts w:ascii="宋体" w:hAnsi="宋体" w:eastAsia="宋体"/>
                <w:b/>
                <w:sz w:val="18"/>
              </w:rPr>
              <w:t>显存 (MB)</w:t>
            </w:r>
          </w:p>
        </w:tc>
      </w:tr>
      <w:tr>
        <w:tc>
          <w:tcPr>
            <w:tcW w:type="dxa" w:w="2436"/>
          </w:tcPr>
          <w:p>
            <w:pPr>
              <w:jc w:val="center"/>
            </w:pPr>
            <w:r>
              <w:rPr>
                <w:rFonts w:ascii="宋体" w:hAnsi="宋体" w:eastAsia="宋体"/>
                <w:sz w:val="18"/>
              </w:rPr>
              <w:t>Baseline（q=900, BERT）</w:t>
            </w:r>
          </w:p>
        </w:tc>
        <w:tc>
          <w:tcPr>
            <w:tcW w:type="dxa" w:w="2436"/>
          </w:tcPr>
          <w:p>
            <w:pPr>
              <w:jc w:val="center"/>
            </w:pPr>
            <w:r>
              <w:rPr>
                <w:rFonts w:ascii="宋体" w:hAnsi="宋体" w:eastAsia="宋体"/>
                <w:sz w:val="18"/>
              </w:rPr>
              <w:t>0.552</w:t>
            </w:r>
          </w:p>
        </w:tc>
        <w:tc>
          <w:tcPr>
            <w:tcW w:type="dxa" w:w="2436"/>
          </w:tcPr>
          <w:p>
            <w:pPr>
              <w:jc w:val="center"/>
            </w:pPr>
            <w:r>
              <w:rPr>
                <w:rFonts w:ascii="宋体" w:hAnsi="宋体" w:eastAsia="宋体"/>
                <w:sz w:val="18"/>
              </w:rPr>
              <w:t>0:21:14</w:t>
            </w:r>
          </w:p>
        </w:tc>
        <w:tc>
          <w:tcPr>
            <w:tcW w:type="dxa" w:w="2436"/>
          </w:tcPr>
          <w:p>
            <w:pPr>
              <w:jc w:val="center"/>
            </w:pPr>
            <w:r>
              <w:rPr>
                <w:rFonts w:ascii="宋体" w:hAnsi="宋体" w:eastAsia="宋体"/>
                <w:sz w:val="18"/>
              </w:rPr>
              <w:t>12,154</w:t>
            </w:r>
          </w:p>
        </w:tc>
      </w:tr>
      <w:tr>
        <w:tc>
          <w:tcPr>
            <w:tcW w:type="dxa" w:w="2436"/>
          </w:tcPr>
          <w:p>
            <w:pPr>
              <w:jc w:val="center"/>
            </w:pPr>
            <w:r>
              <w:rPr>
                <w:rFonts w:ascii="宋体" w:hAnsi="宋体" w:eastAsia="宋体"/>
                <w:sz w:val="18"/>
              </w:rPr>
              <w:t>Stage 4（最终轻量化）</w:t>
            </w:r>
          </w:p>
        </w:tc>
        <w:tc>
          <w:tcPr>
            <w:tcW w:type="dxa" w:w="2436"/>
          </w:tcPr>
          <w:p>
            <w:pPr>
              <w:jc w:val="center"/>
            </w:pPr>
            <w:r>
              <w:rPr>
                <w:rFonts w:ascii="宋体" w:hAnsi="宋体" w:eastAsia="宋体"/>
                <w:sz w:val="18"/>
              </w:rPr>
              <w:t>0.512</w:t>
            </w:r>
          </w:p>
        </w:tc>
        <w:tc>
          <w:tcPr>
            <w:tcW w:type="dxa" w:w="2436"/>
          </w:tcPr>
          <w:p>
            <w:pPr>
              <w:jc w:val="center"/>
            </w:pPr>
            <w:r>
              <w:rPr>
                <w:rFonts w:ascii="宋体" w:hAnsi="宋体" w:eastAsia="宋体"/>
                <w:sz w:val="18"/>
              </w:rPr>
              <w:t>0:15:03</w:t>
            </w:r>
          </w:p>
        </w:tc>
        <w:tc>
          <w:tcPr>
            <w:tcW w:type="dxa" w:w="2436"/>
          </w:tcPr>
          <w:p>
            <w:pPr>
              <w:jc w:val="center"/>
            </w:pPr>
            <w:r>
              <w:rPr>
                <w:rFonts w:ascii="宋体" w:hAnsi="宋体" w:eastAsia="宋体"/>
                <w:sz w:val="18"/>
              </w:rPr>
              <w:t>9,764</w:t>
            </w:r>
          </w:p>
        </w:tc>
      </w:tr>
    </w:tbl>
    <w:p/>
    <w:p>
      <w:pPr>
        <w:spacing w:before="40" w:after="40"/>
        <w:pBdr>
          <w:bottom w:val="single" w:sz="6" w:space="1" w:color="4472C4"/>
        </w:pBdr>
      </w:pPr>
    </w:p>
    <w:p>
      <w:pPr>
        <w:spacing w:before="180" w:after="60"/>
      </w:pPr>
      <w:r>
        <w:rPr>
          <w:rFonts w:ascii="黑体" w:hAnsi="黑体" w:eastAsia="黑体"/>
          <w:b/>
          <w:color w:val="1F497D"/>
          <w:sz w:val="22"/>
        </w:rPr>
        <w:t>主要困难与解决方案</w:t>
      </w:r>
    </w:p>
    <w:p>
      <w:pPr>
        <w:spacing w:before="50" w:after="50"/>
        <w:ind w:left="227"/>
      </w:pPr>
      <w:r>
        <w:rPr>
          <w:rFonts w:ascii="宋体" w:hAnsi="宋体" w:eastAsia="宋体"/>
          <w:sz w:val="21"/>
        </w:rPr>
        <w:t>【层剪枝权重不兼容】用 --finetune_ignore 跳过被裁剪层参数键，无冲突加载预训练权重。</w:t>
      </w:r>
    </w:p>
    <w:p>
      <w:pPr>
        <w:spacing w:before="50" w:after="50"/>
        <w:ind w:left="227"/>
      </w:pPr>
      <w:r>
        <w:rPr>
          <w:rFonts w:ascii="宋体" w:hAnsi="宋体" w:eastAsia="宋体"/>
          <w:sz w:val="21"/>
        </w:rPr>
        <w:t>【DistilBERT 接口不兼容】设计 TextEncoderShell 封装层，自动屏蔽 token_type_ids、将 3D mask 降维为 2D，实现多编码器无缝切换。</w:t>
      </w:r>
    </w:p>
    <w:p>
      <w:pPr>
        <w:spacing w:before="50" w:after="50"/>
        <w:ind w:left="227"/>
      </w:pPr>
      <w:r>
        <w:rPr>
          <w:rFonts w:ascii="宋体" w:hAnsi="宋体" w:eastAsia="宋体"/>
          <w:sz w:val="21"/>
        </w:rPr>
        <w:t>【AMP 数值不稳定（NaN）】Offset clamp ±8px + Softmax FP32 + BBox Head FP32，三项措施消除混合精度抖动，同步夯实 INT8 量化基础。</w:t>
      </w:r>
    </w:p>
    <w:p>
      <w:pPr>
        <w:spacing w:before="50" w:after="50"/>
        <w:ind w:left="227"/>
      </w:pPr>
      <w:r>
        <w:rPr>
          <w:rFonts w:ascii="宋体" w:hAnsi="宋体" w:eastAsia="宋体"/>
          <w:sz w:val="21"/>
        </w:rPr>
        <w:t>【推理瓶颈误判】自研多层级 Profiling，精确定位瓶颈为 BiAttentionBlock 的 softmax/bmm（O(n²)），驱动后续 Token Pruning 优化方向。</w:t>
      </w:r>
    </w:p>
    <w:p>
      <w:pPr>
        <w:spacing w:before="40" w:after="40"/>
        <w:pBdr>
          <w:bottom w:val="single" w:sz="6" w:space="1" w:color="4472C4"/>
        </w:pBdr>
      </w:pPr>
    </w:p>
    <w:p>
      <w:pPr>
        <w:spacing w:before="180" w:after="60"/>
      </w:pPr>
      <w:r>
        <w:rPr>
          <w:rFonts w:ascii="黑体" w:hAnsi="黑体" w:eastAsia="黑体"/>
          <w:b/>
          <w:color w:val="1F497D"/>
          <w:sz w:val="22"/>
        </w:rPr>
        <w:t>核心价值</w:t>
      </w:r>
    </w:p>
    <w:p>
      <w:pPr>
        <w:spacing w:before="60" w:after="80"/>
        <w:ind w:left="227"/>
      </w:pPr>
      <w:r>
        <w:rPr>
          <w:rFonts w:ascii="宋体" w:hAnsi="宋体" w:eastAsia="宋体"/>
          <w:sz w:val="21"/>
        </w:rPr>
        <w:t>在 GroundingDINO 项目中独立实施四阶段模型压缩，显存降低 20%、训练提速 31%、精度损失 &lt;4%；自研 Profiling 工具精准定位推理瓶颈，为量化部署提供工程基础。</w:t>
      </w:r>
    </w:p>
    <w:p>
      <w:pPr>
        <w:spacing w:before="40" w:after="40"/>
        <w:pBdr>
          <w:bottom w:val="single" w:sz="6" w:space="1" w:color="4472C4"/>
        </w:pBdr>
      </w:pPr>
    </w:p>
    <w:p>
      <w:pPr>
        <w:jc w:val="center"/>
        <w:spacing w:before="80" w:after="0"/>
      </w:pPr>
      <w:r>
        <w:rPr>
          <w:rFonts w:ascii="宋体" w:hAnsi="宋体" w:eastAsia="宋体"/>
          <w:b w:val="0"/>
          <w:i w:val="0"/>
          <w:color w:val="595959"/>
          <w:sz w:val="18"/>
        </w:rPr>
        <w:t>代码开源：https://github.com/MengQxuan/Open-GroundingDino</w:t>
      </w:r>
    </w:p>
    <w:sectPr w:rsidR="00FC693F" w:rsidRPr="0006063C" w:rsidSect="00034616">
      <w:pgSz w:w="12240" w:h="15840"/>
      <w:pgMar w:top="1020" w:right="1247" w:bottom="1020" w:left="124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