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/>
      </w:pPr>
      <w:r>
        <w:rPr>
          <w:rFonts w:ascii="宋体" w:hAnsi="宋体" w:eastAsia="宋体"/>
          <w:b/>
          <w:i w:val="0"/>
          <w:color w:val="1F497D"/>
          <w:sz w:val="28"/>
        </w:rPr>
        <w:t>基于 GroundingDINO 的开放词汇目标检测模型结构压缩与推理加速研究</w:t>
      </w:r>
    </w:p>
    <w:p>
      <w:pPr>
        <w:jc w:val="center"/>
        <w:spacing w:before="0" w:after="160"/>
      </w:pPr>
      <w:r>
        <w:rPr>
          <w:rFonts w:ascii="宋体" w:hAnsi="宋体" w:eastAsia="宋体"/>
          <w:b w:val="0"/>
          <w:i w:val="0"/>
          <w:color w:val="595959"/>
          <w:sz w:val="20"/>
        </w:rPr>
        <w:t>2026.01 – 至今</w:t>
      </w:r>
    </w:p>
    <w:p>
      <w:pPr>
        <w:spacing w:before="40" w:after="40"/>
        <w:pBdr>
          <w:bottom w:val="single" w:sz="6" w:space="1" w:color="4472C4"/>
        </w:pBdr>
      </w:pPr>
    </w:p>
    <w:p>
      <w:pPr>
        <w:spacing w:before="180" w:after="60"/>
      </w:pPr>
      <w:r>
        <w:rPr>
          <w:rFonts w:ascii="黑体" w:hAnsi="黑体" w:eastAsia="黑体"/>
          <w:b/>
          <w:color w:val="1F497D"/>
          <w:sz w:val="22"/>
        </w:rPr>
        <w:t>项目背景</w:t>
      </w:r>
    </w:p>
    <w:p>
      <w:pPr>
        <w:spacing w:before="40" w:after="80"/>
      </w:pPr>
      <w:r>
        <w:rPr>
          <w:rFonts w:ascii="宋体" w:hAnsi="宋体" w:eastAsia="宋体"/>
          <w:b w:val="0"/>
          <w:i w:val="0"/>
          <w:sz w:val="21"/>
        </w:rPr>
        <w:t>GroundingDINO 将视觉 Transformer 与 BERT 深度融合，实现任意自然语言驱动的目标检测，但其推理开销大、Object Queries 冗余严重、跨模态融合模块（BiAttentionBlock）延迟随 Caption 长度呈二次方增长。本项目以 Open-GroundingDINO 为基础，在精度损失 ≤5% 的目标下，系统开展结构剪枝与推理加速研究，将显存从 ~12 GB 降至 10 GB 以内。</w:t>
      </w:r>
    </w:p>
    <w:p>
      <w:pPr>
        <w:spacing w:before="40" w:after="40"/>
        <w:pBdr>
          <w:bottom w:val="single" w:sz="6" w:space="1" w:color="4472C4"/>
        </w:pBdr>
      </w:pPr>
    </w:p>
    <w:p>
      <w:pPr>
        <w:spacing w:before="180" w:after="60"/>
      </w:pPr>
      <w:r>
        <w:rPr>
          <w:rFonts w:ascii="黑体" w:hAnsi="黑体" w:eastAsia="黑体"/>
          <w:b/>
          <w:color w:val="1F497D"/>
          <w:sz w:val="22"/>
        </w:rPr>
        <w:t>主要工作</w:t>
      </w:r>
    </w:p>
    <w:p>
      <w:pPr>
        <w:spacing w:before="50" w:after="50"/>
        <w:ind w:left="227"/>
      </w:pPr>
      <w:r>
        <w:rPr>
          <w:rFonts w:ascii="宋体" w:hAnsi="宋体" w:eastAsia="宋体"/>
          <w:b/>
          <w:i w:val="0"/>
          <w:color w:val="1F497D"/>
          <w:sz w:val="21"/>
        </w:rPr>
        <w:t>▸ 复现与基准建立：</w:t>
      </w:r>
      <w:r>
        <w:rPr>
          <w:rFonts w:ascii="宋体" w:hAnsi="宋体" w:eastAsia="宋体"/>
          <w:b w:val="0"/>
          <w:i w:val="0"/>
          <w:sz w:val="21"/>
        </w:rPr>
        <w:t>完成 COCO 2017 ODVG 格式转换与 DDP 分布式训练全流程，建立 Baseline（AP=0.552），种子固定后波动 ≤0.002。</w:t>
      </w:r>
    </w:p>
    <w:p>
      <w:pPr>
        <w:spacing w:before="50" w:after="50"/>
        <w:ind w:left="227"/>
      </w:pPr>
      <w:r>
        <w:rPr>
          <w:rFonts w:ascii="宋体" w:hAnsi="宋体" w:eastAsia="宋体"/>
          <w:b/>
          <w:i w:val="0"/>
          <w:color w:val="1F497D"/>
          <w:sz w:val="21"/>
        </w:rPr>
        <w:t>▸ Queries 冗余分析：</w:t>
      </w:r>
      <w:r>
        <w:rPr>
          <w:rFonts w:ascii="宋体" w:hAnsi="宋体" w:eastAsia="宋体"/>
          <w:b w:val="0"/>
          <w:i w:val="0"/>
          <w:sz w:val="21"/>
        </w:rPr>
        <w:t>num_queries 900→200 精度几乎不变（ΔAP&lt;0.003）；Top-K Pruning 无效；Profiling 定位真正瓶颈为 enc_fusion（BiAttentionBlock，占 Encoder 增量 ~98%）。</w:t>
      </w:r>
    </w:p>
    <w:p>
      <w:pPr>
        <w:spacing w:before="50" w:after="50"/>
        <w:ind w:left="227"/>
      </w:pPr>
      <w:r>
        <w:rPr>
          <w:rFonts w:ascii="宋体" w:hAnsi="宋体" w:eastAsia="宋体"/>
          <w:b/>
          <w:i w:val="0"/>
          <w:color w:val="1F497D"/>
          <w:sz w:val="21"/>
        </w:rPr>
        <w:t>▸ 多阶段轻量化：</w:t>
      </w:r>
      <w:r>
        <w:rPr>
          <w:rFonts w:ascii="宋体" w:hAnsi="宋体" w:eastAsia="宋体"/>
          <w:b w:val="0"/>
          <w:i w:val="0"/>
          <w:sz w:val="21"/>
        </w:rPr>
        <w:t>Stage1 层剪枝（Enc 6→4, Dec 6→3）；Stage2 降采样（dec_n_points 4→2）；Stage3 AMP 数值稳定化（offset clamp + FP32 softmax）；Stage4 BERT→DistilBERT 替换。</w:t>
      </w:r>
    </w:p>
    <w:p>
      <w:pPr>
        <w:spacing w:before="50" w:after="50"/>
        <w:ind w:left="227"/>
      </w:pPr>
      <w:r>
        <w:rPr>
          <w:rFonts w:ascii="宋体" w:hAnsi="宋体" w:eastAsia="宋体"/>
          <w:b/>
          <w:i w:val="0"/>
          <w:color w:val="1F497D"/>
          <w:sz w:val="21"/>
        </w:rPr>
        <w:t>▸ 延迟量化分析：</w:t>
      </w:r>
      <w:r>
        <w:rPr>
          <w:rFonts w:ascii="宋体" w:hAnsi="宋体" w:eastAsia="宋体"/>
          <w:b w:val="0"/>
          <w:i w:val="0"/>
          <w:sz w:val="21"/>
        </w:rPr>
        <w:t>Caption 长度对文本编码器延迟无影响（~4ms 恒定）；&gt;97% 增量来自 enc_fusion 中的 softmax/context bmm，建立二次方增长模型，为 Token Pruning / Flash Attention 指明优化路径。</w:t>
      </w:r>
    </w:p>
    <w:p>
      <w:pPr>
        <w:spacing w:before="40" w:after="40"/>
        <w:pBdr>
          <w:bottom w:val="single" w:sz="6" w:space="1" w:color="4472C4"/>
        </w:pBdr>
      </w:pPr>
    </w:p>
    <w:p>
      <w:pPr>
        <w:spacing w:before="180" w:after="60"/>
      </w:pPr>
      <w:r>
        <w:rPr>
          <w:rFonts w:ascii="黑体" w:hAnsi="黑体" w:eastAsia="黑体"/>
          <w:b/>
          <w:color w:val="1F497D"/>
          <w:sz w:val="22"/>
        </w:rPr>
        <w:t>性能提升</w:t>
      </w:r>
    </w:p>
    <w:p>
      <w:pPr>
        <w:spacing w:before="40" w:after="80"/>
      </w:pPr>
      <w:r>
        <w:rPr>
          <w:rFonts w:ascii="宋体" w:hAnsi="宋体" w:eastAsia="宋体"/>
          <w:b w:val="0"/>
          <w:i w:val="0"/>
          <w:sz w:val="21"/>
        </w:rPr>
        <w:t xml:space="preserve">Stage 4 最终配置（层剪枝 + 降采样 + 稳定化 + DistilBERT）较 Baseline：训练提速 </w:t>
      </w:r>
      <w:r>
        <w:rPr>
          <w:rFonts w:ascii="宋体" w:hAnsi="宋体" w:eastAsia="宋体"/>
          <w:b/>
          <w:i w:val="0"/>
          <w:color w:val="1F497D"/>
          <w:sz w:val="21"/>
        </w:rPr>
        <w:t>约 31%</w:t>
      </w:r>
      <w:r>
        <w:rPr>
          <w:rFonts w:ascii="宋体" w:hAnsi="宋体" w:eastAsia="宋体"/>
          <w:b w:val="0"/>
          <w:i w:val="0"/>
          <w:sz w:val="21"/>
        </w:rPr>
        <w:t xml:space="preserve">，显存降低 </w:t>
      </w:r>
      <w:r>
        <w:rPr>
          <w:rFonts w:ascii="宋体" w:hAnsi="宋体" w:eastAsia="宋体"/>
          <w:b/>
          <w:i w:val="0"/>
          <w:color w:val="1F497D"/>
          <w:sz w:val="21"/>
        </w:rPr>
        <w:t>约 20%</w:t>
      </w:r>
      <w:r>
        <w:rPr>
          <w:rFonts w:ascii="宋体" w:hAnsi="宋体" w:eastAsia="宋体"/>
          <w:b w:val="0"/>
          <w:i w:val="0"/>
          <w:sz w:val="21"/>
        </w:rPr>
        <w:t xml:space="preserve">（12.2 GB → 9.8 GB），AP 精度损失 </w:t>
      </w:r>
      <w:r>
        <w:rPr>
          <w:rFonts w:ascii="宋体" w:hAnsi="宋体" w:eastAsia="宋体"/>
          <w:b/>
          <w:i w:val="0"/>
          <w:color w:val="1F497D"/>
          <w:sz w:val="21"/>
        </w:rPr>
        <w:t>&lt;4%</w:t>
      </w:r>
      <w:r>
        <w:rPr>
          <w:rFonts w:ascii="宋体" w:hAnsi="宋体" w:eastAsia="宋体"/>
          <w:b w:val="0"/>
          <w:i w:val="0"/>
          <w:sz w:val="21"/>
        </w:rPr>
        <w:t>（0.552 → 0.512）。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AP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Epoch 时长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显存 (MB)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Baseline（q=900, BERT）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0.552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0:21:14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12,154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Stage 4（最终轻量化）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0.512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0:15:03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9,764</w:t>
            </w:r>
          </w:p>
        </w:tc>
      </w:tr>
    </w:tbl>
    <w:p/>
    <w:p>
      <w:pPr>
        <w:spacing w:before="40" w:after="40"/>
        <w:pBdr>
          <w:bottom w:val="single" w:sz="6" w:space="1" w:color="4472C4"/>
        </w:pBdr>
      </w:pPr>
    </w:p>
    <w:p>
      <w:pPr>
        <w:spacing w:before="180" w:after="60"/>
      </w:pPr>
      <w:r>
        <w:rPr>
          <w:rFonts w:ascii="黑体" w:hAnsi="黑体" w:eastAsia="黑体"/>
          <w:b/>
          <w:color w:val="1F497D"/>
          <w:sz w:val="22"/>
        </w:rPr>
        <w:t>主要困难与解决方案</w:t>
      </w:r>
    </w:p>
    <w:p>
      <w:pPr>
        <w:spacing w:before="50" w:after="50"/>
        <w:ind w:left="227"/>
      </w:pPr>
      <w:r>
        <w:rPr>
          <w:rFonts w:ascii="宋体" w:hAnsi="宋体" w:eastAsia="宋体"/>
          <w:b/>
          <w:i w:val="0"/>
          <w:color w:val="1F497D"/>
          <w:sz w:val="21"/>
        </w:rPr>
        <w:t>【层剪枝权重不兼容】</w:t>
      </w:r>
      <w:r>
        <w:rPr>
          <w:rFonts w:ascii="宋体" w:hAnsi="宋体" w:eastAsia="宋体"/>
          <w:b w:val="0"/>
          <w:i w:val="0"/>
          <w:sz w:val="21"/>
        </w:rPr>
        <w:t>使用 --finetune_ignore 显式跳过被裁剪层参数键，实现无冲突预训练权重加载。</w:t>
      </w:r>
    </w:p>
    <w:p>
      <w:pPr>
        <w:spacing w:before="50" w:after="50"/>
        <w:ind w:left="227"/>
      </w:pPr>
      <w:r>
        <w:rPr>
          <w:rFonts w:ascii="宋体" w:hAnsi="宋体" w:eastAsia="宋体"/>
          <w:b/>
          <w:i w:val="0"/>
          <w:color w:val="1F497D"/>
          <w:sz w:val="21"/>
        </w:rPr>
        <w:t>【DistilBERT 接口不兼容】</w:t>
      </w:r>
      <w:r>
        <w:rPr>
          <w:rFonts w:ascii="宋体" w:hAnsi="宋体" w:eastAsia="宋体"/>
          <w:b w:val="0"/>
          <w:i w:val="0"/>
          <w:sz w:val="21"/>
        </w:rPr>
        <w:t>设计 TextEncoderShell 统一封装层，自动屏蔽 token_type_ids、降维 3D→2D mask，实现多编码器无缝切换。</w:t>
      </w:r>
    </w:p>
    <w:p>
      <w:pPr>
        <w:spacing w:before="50" w:after="50"/>
        <w:ind w:left="227"/>
      </w:pPr>
      <w:r>
        <w:rPr>
          <w:rFonts w:ascii="宋体" w:hAnsi="宋体" w:eastAsia="宋体"/>
          <w:b/>
          <w:i w:val="0"/>
          <w:color w:val="1F497D"/>
          <w:sz w:val="21"/>
        </w:rPr>
        <w:t>【AMP 数值不稳定（NaN）】</w:t>
      </w:r>
      <w:r>
        <w:rPr>
          <w:rFonts w:ascii="宋体" w:hAnsi="宋体" w:eastAsia="宋体"/>
          <w:b w:val="0"/>
          <w:i w:val="0"/>
          <w:sz w:val="21"/>
        </w:rPr>
        <w:t>Offset clamp(±8px) + Softmax 强制 FP32 + BBox Head FP32，三措并举消除混合精度抖动，同时为 INT8 量化奠基。</w:t>
      </w:r>
    </w:p>
    <w:p>
      <w:pPr>
        <w:spacing w:before="50" w:after="50"/>
        <w:ind w:left="227"/>
      </w:pPr>
      <w:r>
        <w:rPr>
          <w:rFonts w:ascii="宋体" w:hAnsi="宋体" w:eastAsia="宋体"/>
          <w:b/>
          <w:i w:val="0"/>
          <w:color w:val="1F497D"/>
          <w:sz w:val="21"/>
        </w:rPr>
        <w:t>【推理瓶颈误判】</w:t>
      </w:r>
      <w:r>
        <w:rPr>
          <w:rFonts w:ascii="宋体" w:hAnsi="宋体" w:eastAsia="宋体"/>
          <w:b w:val="0"/>
          <w:i w:val="0"/>
          <w:sz w:val="21"/>
        </w:rPr>
        <w:t>自研多层级 Profiling 系统，精确定位瓶颈为 BiAttentionBlock 内的 softmax/context bmm（随 ntxt 二次方增长），驱动后续 Token Pruning 方向。</w:t>
      </w:r>
    </w:p>
    <w:p>
      <w:pPr>
        <w:spacing w:before="40" w:after="40"/>
        <w:pBdr>
          <w:bottom w:val="single" w:sz="6" w:space="1" w:color="4472C4"/>
        </w:pBdr>
      </w:pPr>
    </w:p>
    <w:p>
      <w:pPr>
        <w:spacing w:before="180" w:after="60"/>
      </w:pPr>
      <w:r>
        <w:rPr>
          <w:rFonts w:ascii="黑体" w:hAnsi="黑体" w:eastAsia="黑体"/>
          <w:b/>
          <w:color w:val="1F497D"/>
          <w:sz w:val="22"/>
        </w:rPr>
        <w:t>核心价值</w:t>
      </w:r>
    </w:p>
    <w:p>
      <w:pPr>
        <w:spacing w:before="60" w:after="80"/>
        <w:ind w:left="227"/>
      </w:pPr>
      <w:r>
        <w:rPr>
          <w:rFonts w:ascii="宋体" w:hAnsi="宋体" w:eastAsia="宋体"/>
          <w:sz w:val="21"/>
        </w:rPr>
        <w:t>在 GroundingDINO 项目中独立实施四阶段模型压缩，显存降低 20%、训练提速 31%、精度损失 &lt;4%；自研 Profiling 工具精准定位推理瓶颈，为量化部署提供工程基础。</w:t>
      </w:r>
    </w:p>
    <w:p>
      <w:pPr>
        <w:spacing w:before="40" w:after="40"/>
        <w:pBdr>
          <w:bottom w:val="single" w:sz="6" w:space="1" w:color="4472C4"/>
        </w:pBdr>
      </w:pPr>
    </w:p>
    <w:p>
      <w:pPr>
        <w:jc w:val="center"/>
        <w:spacing w:before="80" w:after="0"/>
      </w:pPr>
      <w:r>
        <w:rPr>
          <w:rFonts w:ascii="宋体" w:hAnsi="宋体" w:eastAsia="宋体"/>
          <w:b w:val="0"/>
          <w:i w:val="0"/>
          <w:color w:val="595959"/>
          <w:sz w:val="18"/>
        </w:rPr>
        <w:t>代码开源：https://github.com/MengQxuan/Open-GroundingDino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