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7F113" w14:textId="1E19BC67" w:rsidR="00222DAC" w:rsidRDefault="00FF4784">
      <w:pPr>
        <w:rPr>
          <w:rFonts w:asciiTheme="minorEastAsia" w:hAnsiTheme="minorEastAsia" w:cstheme="minorEastAsia"/>
          <w:b/>
          <w:sz w:val="22"/>
          <w:szCs w:val="22"/>
          <w:lang w:eastAsia="zh-CN"/>
        </w:rPr>
      </w:pPr>
      <w:r w:rsidRPr="00DA2660">
        <w:rPr>
          <w:rFonts w:asciiTheme="minorEastAsia" w:hAnsiTheme="minorEastAsia" w:cstheme="minorEastAsia" w:hint="eastAsia"/>
          <w:b/>
          <w:sz w:val="22"/>
          <w:szCs w:val="22"/>
        </w:rPr>
        <w:t>Data Visualization Checklist</w:t>
      </w:r>
    </w:p>
    <w:p w14:paraId="583308A3" w14:textId="77777777" w:rsidR="00462508" w:rsidRDefault="00462508" w:rsidP="00DA2660">
      <w:pPr>
        <w:rPr>
          <w:rFonts w:asciiTheme="minorEastAsia" w:hAnsiTheme="minorEastAsia" w:cstheme="minorEastAsia"/>
          <w:sz w:val="22"/>
          <w:szCs w:val="22"/>
          <w:lang w:eastAsia="zh-CN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6925"/>
        <w:gridCol w:w="2250"/>
      </w:tblGrid>
      <w:tr w:rsidR="00303CFF" w:rsidRPr="00DA2660" w14:paraId="7A17AF41" w14:textId="77777777" w:rsidTr="006405BF">
        <w:tc>
          <w:tcPr>
            <w:tcW w:w="6925" w:type="dxa"/>
          </w:tcPr>
          <w:p w14:paraId="34B66DEA" w14:textId="5D6BEBB4" w:rsidR="00303CFF" w:rsidRPr="00DA2660" w:rsidRDefault="00303CFF" w:rsidP="006405BF">
            <w:pPr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  <w:t>Guideline</w:t>
            </w:r>
            <w:r>
              <w:rPr>
                <w:rFonts w:asciiTheme="minorEastAsia" w:hAnsiTheme="minorEastAsia" w:cstheme="minorEastAsia"/>
                <w:b/>
                <w:sz w:val="22"/>
                <w:szCs w:val="22"/>
              </w:rPr>
              <w:t xml:space="preserve">s (ranked </w:t>
            </w:r>
            <w:r w:rsidR="006405BF">
              <w:rPr>
                <w:rFonts w:asciiTheme="minorEastAsia" w:hAnsiTheme="minorEastAsia" w:cstheme="minorEastAsia"/>
                <w:b/>
                <w:sz w:val="22"/>
                <w:szCs w:val="22"/>
              </w:rPr>
              <w:t>from most important to least</w:t>
            </w:r>
            <w:r>
              <w:rPr>
                <w:rFonts w:asciiTheme="minorEastAsia" w:hAnsiTheme="minorEastAsia" w:cstheme="minorEastAsia"/>
                <w:b/>
                <w:sz w:val="22"/>
                <w:szCs w:val="22"/>
              </w:rPr>
              <w:t>)</w:t>
            </w:r>
          </w:p>
        </w:tc>
        <w:tc>
          <w:tcPr>
            <w:tcW w:w="2250" w:type="dxa"/>
          </w:tcPr>
          <w:p w14:paraId="55A3704A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b/>
                <w:sz w:val="22"/>
                <w:szCs w:val="22"/>
              </w:rPr>
            </w:pPr>
            <w:r w:rsidRPr="00DA2660">
              <w:rPr>
                <w:rFonts w:asciiTheme="minorEastAsia" w:hAnsiTheme="minorEastAsia" w:cstheme="minorEastAsia" w:hint="eastAsia"/>
                <w:b/>
                <w:sz w:val="22"/>
                <w:szCs w:val="22"/>
              </w:rPr>
              <w:t>Rating (2, 1, 0, N/A)</w:t>
            </w:r>
          </w:p>
        </w:tc>
      </w:tr>
      <w:tr w:rsidR="00303CFF" w:rsidRPr="00DA2660" w14:paraId="5283AEA0" w14:textId="77777777" w:rsidTr="006405BF">
        <w:trPr>
          <w:trHeight w:val="593"/>
        </w:trPr>
        <w:tc>
          <w:tcPr>
            <w:tcW w:w="6925" w:type="dxa"/>
          </w:tcPr>
          <w:p w14:paraId="79AB51C9" w14:textId="46AC5F84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Provide clear, detailed and thorough labeling to avoid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scale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distortion and ambiguity.</w:t>
            </w:r>
          </w:p>
        </w:tc>
        <w:tc>
          <w:tcPr>
            <w:tcW w:w="2250" w:type="dxa"/>
          </w:tcPr>
          <w:p w14:paraId="3C6D91EB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7FDAF87A" w14:textId="77777777" w:rsidTr="006405BF">
        <w:trPr>
          <w:trHeight w:val="836"/>
        </w:trPr>
        <w:tc>
          <w:tcPr>
            <w:tcW w:w="6925" w:type="dxa"/>
          </w:tcPr>
          <w:p w14:paraId="662B2769" w14:textId="77777777" w:rsidR="00303CFF" w:rsidRDefault="00303CFF" w:rsidP="00303CFF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Graphical representation of numbers (as measured on the graph) should be directly proportional to numerical quantities represented. </w:t>
            </w:r>
          </w:p>
          <w:p w14:paraId="20CF0A31" w14:textId="2093DFB5" w:rsidR="00303CFF" w:rsidRPr="00DA2660" w:rsidRDefault="00303CFF" w:rsidP="00303CFF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0.95 &lt;= Lie Factor &lt;= 1.05</w:t>
            </w:r>
          </w:p>
        </w:tc>
        <w:tc>
          <w:tcPr>
            <w:tcW w:w="2250" w:type="dxa"/>
          </w:tcPr>
          <w:p w14:paraId="41C6BA04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1E713B44" w14:textId="77777777" w:rsidTr="006405BF">
        <w:trPr>
          <w:trHeight w:val="611"/>
        </w:trPr>
        <w:tc>
          <w:tcPr>
            <w:tcW w:w="6925" w:type="dxa"/>
          </w:tcPr>
          <w:p w14:paraId="0E7B5609" w14:textId="06B32DB9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Plot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type should be appropriate to represent relationships in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the data and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deliver the 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intended message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s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.</w:t>
            </w:r>
          </w:p>
        </w:tc>
        <w:tc>
          <w:tcPr>
            <w:tcW w:w="2250" w:type="dxa"/>
          </w:tcPr>
          <w:p w14:paraId="2CA05889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703EF986" w14:textId="77777777" w:rsidTr="006405BF">
        <w:trPr>
          <w:trHeight w:val="593"/>
        </w:trPr>
        <w:tc>
          <w:tcPr>
            <w:tcW w:w="6925" w:type="dxa"/>
          </w:tcPr>
          <w:p w14:paraId="78FB5BB8" w14:textId="362FCC05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Provide a descriptive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title, axis labels and explanatory annotation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, legend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if needed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. 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Text size should be readable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250" w:type="dxa"/>
          </w:tcPr>
          <w:p w14:paraId="5DFA8EA3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63F149AA" w14:textId="77777777" w:rsidTr="006405BF">
        <w:trPr>
          <w:trHeight w:val="368"/>
        </w:trPr>
        <w:tc>
          <w:tcPr>
            <w:tcW w:w="6925" w:type="dxa"/>
          </w:tcPr>
          <w:p w14:paraId="3AF7829D" w14:textId="163BFA3A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Maximize data-ink ratio (non-data ink: scales, labels, edges)</w:t>
            </w:r>
          </w:p>
        </w:tc>
        <w:tc>
          <w:tcPr>
            <w:tcW w:w="2250" w:type="dxa"/>
          </w:tcPr>
          <w:p w14:paraId="445AA178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75E6E80B" w14:textId="77777777" w:rsidTr="006405BF">
        <w:trPr>
          <w:trHeight w:val="629"/>
        </w:trPr>
        <w:tc>
          <w:tcPr>
            <w:tcW w:w="6925" w:type="dxa"/>
          </w:tcPr>
          <w:p w14:paraId="3AA3ED21" w14:textId="47E94F3B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Avoid chart junk (i.e. unnecessary gridlines, redundant background color and display frames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2250" w:type="dxa"/>
          </w:tcPr>
          <w:p w14:paraId="3DCCD3D2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6405BF" w:rsidRPr="00DA2660" w14:paraId="54728221" w14:textId="77777777" w:rsidTr="006405BF">
        <w:trPr>
          <w:trHeight w:val="377"/>
        </w:trPr>
        <w:tc>
          <w:tcPr>
            <w:tcW w:w="6925" w:type="dxa"/>
          </w:tcPr>
          <w:p w14:paraId="202F0FEC" w14:textId="47F71650" w:rsidR="00303CFF" w:rsidRPr="00DA2660" w:rsidRDefault="00303CFF" w:rsidP="00CF5E16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Maximize data density (shrink graphics, maximize amount of data shown)</w:t>
            </w:r>
          </w:p>
        </w:tc>
        <w:tc>
          <w:tcPr>
            <w:tcW w:w="2250" w:type="dxa"/>
          </w:tcPr>
          <w:p w14:paraId="488293F2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089332C2" w14:textId="77777777" w:rsidTr="006405BF">
        <w:trPr>
          <w:trHeight w:val="611"/>
        </w:trPr>
        <w:tc>
          <w:tcPr>
            <w:tcW w:w="6925" w:type="dxa"/>
          </w:tcPr>
          <w:p w14:paraId="3660D626" w14:textId="77BF6696" w:rsidR="00303CFF" w:rsidRPr="0076274E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No more than 20 stimuli (i.e. shape, color, brightness)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in a single plot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for visual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elements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to be distinguishable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250" w:type="dxa"/>
          </w:tcPr>
          <w:p w14:paraId="3C0435DD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02B7B7FE" w14:textId="77777777" w:rsidTr="006405BF">
        <w:trPr>
          <w:trHeight w:val="332"/>
        </w:trPr>
        <w:tc>
          <w:tcPr>
            <w:tcW w:w="6925" w:type="dxa"/>
          </w:tcPr>
          <w:p w14:paraId="120EFD4B" w14:textId="0DBA3A8C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Avoid splitting one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representation into multiple windows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250" w:type="dxa"/>
          </w:tcPr>
          <w:p w14:paraId="6417DE4A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7059E63E" w14:textId="77777777" w:rsidTr="006405BF">
        <w:trPr>
          <w:trHeight w:val="359"/>
        </w:trPr>
        <w:tc>
          <w:tcPr>
            <w:tcW w:w="6925" w:type="dxa"/>
          </w:tcPr>
          <w:p w14:paraId="5D1A4F75" w14:textId="756AAFBB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Data should be displayed in an order that makes logical sens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e.</w:t>
            </w:r>
          </w:p>
        </w:tc>
        <w:tc>
          <w:tcPr>
            <w:tcW w:w="2250" w:type="dxa"/>
          </w:tcPr>
          <w:p w14:paraId="55672095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40DB42E2" w14:textId="77777777" w:rsidTr="006405BF">
        <w:trPr>
          <w:trHeight w:val="341"/>
        </w:trPr>
        <w:tc>
          <w:tcPr>
            <w:tcW w:w="6925" w:type="dxa"/>
          </w:tcPr>
          <w:p w14:paraId="43E2CADD" w14:textId="79A449AA" w:rsidR="00303CFF" w:rsidRPr="00762E08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Don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’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t use high saturation, spectrally extreme colors together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250" w:type="dxa"/>
          </w:tcPr>
          <w:p w14:paraId="6E8D6151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13199C22" w14:textId="77777777" w:rsidTr="006405BF">
        <w:trPr>
          <w:trHeight w:val="602"/>
        </w:trPr>
        <w:tc>
          <w:tcPr>
            <w:tcW w:w="6925" w:type="dxa"/>
          </w:tcPr>
          <w:p w14:paraId="725CD16E" w14:textId="3685FABD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For large regions, don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’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t use highly saturated colors (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pastels would be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a good choice)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250" w:type="dxa"/>
          </w:tcPr>
          <w:p w14:paraId="6DDB5A06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78ADD98A" w14:textId="77777777" w:rsidTr="006405BF">
        <w:trPr>
          <w:trHeight w:val="602"/>
        </w:trPr>
        <w:tc>
          <w:tcPr>
            <w:tcW w:w="6925" w:type="dxa"/>
          </w:tcPr>
          <w:p w14:paraId="588772E2" w14:textId="61D66C02" w:rsidR="00303CFF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Use red and green in the center of the view.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U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se black, white and 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yellow in periphery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250" w:type="dxa"/>
          </w:tcPr>
          <w:p w14:paraId="5F4F1A39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6A86142F" w14:textId="77777777" w:rsidTr="006405BF">
        <w:trPr>
          <w:trHeight w:val="584"/>
        </w:trPr>
        <w:tc>
          <w:tcPr>
            <w:tcW w:w="6925" w:type="dxa"/>
          </w:tcPr>
          <w:p w14:paraId="407F855C" w14:textId="149860A3" w:rsidR="00303CFF" w:rsidRPr="00424DA7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Use color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s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for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highlighting and 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grouping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, keep in mind that less is sometimes more. </w:t>
            </w:r>
            <w:r w:rsidR="006405BF"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  <w:t>Also,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 be mindful of the issue with colorblindness.</w:t>
            </w:r>
          </w:p>
        </w:tc>
        <w:tc>
          <w:tcPr>
            <w:tcW w:w="2250" w:type="dxa"/>
          </w:tcPr>
          <w:p w14:paraId="772BE892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5EE7449D" w14:textId="77777777" w:rsidTr="006405BF">
        <w:trPr>
          <w:trHeight w:val="584"/>
        </w:trPr>
        <w:tc>
          <w:tcPr>
            <w:tcW w:w="6925" w:type="dxa"/>
          </w:tcPr>
          <w:p w14:paraId="34C145B0" w14:textId="0EE0E48E" w:rsidR="00303CFF" w:rsidRPr="00424DA7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>Show data variation, but not design variation. Avoid unintended size coding.</w:t>
            </w:r>
          </w:p>
        </w:tc>
        <w:tc>
          <w:tcPr>
            <w:tcW w:w="2250" w:type="dxa"/>
          </w:tcPr>
          <w:p w14:paraId="759B3904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4EF1739A" w14:textId="77777777" w:rsidTr="006405BF">
        <w:trPr>
          <w:trHeight w:val="377"/>
        </w:trPr>
        <w:tc>
          <w:tcPr>
            <w:tcW w:w="6925" w:type="dxa"/>
          </w:tcPr>
          <w:p w14:paraId="6940261B" w14:textId="27C3C616" w:rsidR="00303CFF" w:rsidRPr="00424DA7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  <w:lang w:eastAsia="zh-CN"/>
              </w:rPr>
            </w:pP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Use multifunctioning elements (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  <w:lang w:eastAsia="zh-CN"/>
              </w:rPr>
              <w:t xml:space="preserve">i.e.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s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cen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ted widgets, interactive legend</w:t>
            </w:r>
            <w:r w:rsidRPr="00DA2660">
              <w:rPr>
                <w:rFonts w:asciiTheme="minorEastAsia" w:hAnsiTheme="minorEastAsia" w:cstheme="minorEastAsia" w:hint="eastAsia"/>
                <w:sz w:val="22"/>
                <w:szCs w:val="22"/>
              </w:rPr>
              <w:t>)</w:t>
            </w:r>
          </w:p>
        </w:tc>
        <w:tc>
          <w:tcPr>
            <w:tcW w:w="2250" w:type="dxa"/>
          </w:tcPr>
          <w:p w14:paraId="5D02C94D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303CFF" w:rsidRPr="00DA2660" w14:paraId="32308529" w14:textId="77777777" w:rsidTr="006405BF">
        <w:trPr>
          <w:trHeight w:val="386"/>
        </w:trPr>
        <w:tc>
          <w:tcPr>
            <w:tcW w:w="6925" w:type="dxa"/>
          </w:tcPr>
          <w:p w14:paraId="710FB5A5" w14:textId="77777777" w:rsidR="00303CFF" w:rsidRPr="00932CF0" w:rsidRDefault="00303CFF" w:rsidP="00CF5E16">
            <w:pPr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932CF0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Total Score</w:t>
            </w:r>
          </w:p>
          <w:p w14:paraId="02B8602C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50" w:type="dxa"/>
          </w:tcPr>
          <w:p w14:paraId="764E3ABE" w14:textId="77777777" w:rsidR="00303CFF" w:rsidRPr="00DA2660" w:rsidRDefault="00303CFF" w:rsidP="00CF5E1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</w:tbl>
    <w:p w14:paraId="60EB0F4A" w14:textId="77777777" w:rsidR="00303CFF" w:rsidRDefault="00303CFF" w:rsidP="00DA2660">
      <w:pPr>
        <w:rPr>
          <w:rFonts w:asciiTheme="minorEastAsia" w:hAnsiTheme="minorEastAsia" w:cstheme="minorEastAsia"/>
          <w:sz w:val="22"/>
          <w:szCs w:val="22"/>
          <w:lang w:eastAsia="zh-CN"/>
        </w:rPr>
      </w:pPr>
    </w:p>
    <w:p w14:paraId="34C002A4" w14:textId="77777777" w:rsidR="006405BF" w:rsidRDefault="006405BF" w:rsidP="00DA2660">
      <w:pPr>
        <w:rPr>
          <w:rFonts w:asciiTheme="minorEastAsia" w:hAnsiTheme="minorEastAsia" w:cstheme="minorEastAsia"/>
          <w:sz w:val="22"/>
          <w:szCs w:val="22"/>
          <w:lang w:eastAsia="zh-CN"/>
        </w:rPr>
      </w:pPr>
    </w:p>
    <w:p w14:paraId="5491BC3A" w14:textId="3B1B79DA" w:rsidR="00DA2660" w:rsidRPr="00424DA7" w:rsidRDefault="00DA2660" w:rsidP="00DA2660">
      <w:pPr>
        <w:rPr>
          <w:rFonts w:asciiTheme="minorEastAsia" w:hAnsiTheme="minorEastAsia" w:cstheme="minorEastAsia"/>
          <w:sz w:val="22"/>
          <w:szCs w:val="22"/>
          <w:lang w:eastAsia="zh-CN"/>
        </w:rPr>
      </w:pPr>
      <w:bookmarkStart w:id="0" w:name="_GoBack"/>
      <w:bookmarkEnd w:id="0"/>
      <w:r w:rsidRPr="00424DA7">
        <w:rPr>
          <w:rFonts w:asciiTheme="minorEastAsia" w:hAnsiTheme="minorEastAsia" w:cstheme="minorEastAsia"/>
          <w:sz w:val="22"/>
          <w:szCs w:val="22"/>
          <w:lang w:eastAsia="zh-CN"/>
        </w:rPr>
        <w:t>Reference:</w:t>
      </w:r>
    </w:p>
    <w:p w14:paraId="61A5AD8C" w14:textId="30DBDD1A" w:rsidR="00DA2660" w:rsidRPr="00BD2997" w:rsidRDefault="00DA2660">
      <w:pPr>
        <w:rPr>
          <w:rFonts w:ascii="Times New Roman" w:eastAsia="Times New Roman" w:hAnsi="Times New Roman" w:cs="Times New Roman"/>
          <w:sz w:val="22"/>
          <w:szCs w:val="22"/>
          <w:lang w:eastAsia="zh-CN"/>
        </w:rPr>
      </w:pPr>
      <w:r w:rsidRPr="00424DA7">
        <w:rPr>
          <w:rFonts w:asciiTheme="minorEastAsia" w:hAnsiTheme="minorEastAsia" w:cstheme="minorEastAsia" w:hint="eastAsia"/>
          <w:sz w:val="22"/>
          <w:szCs w:val="22"/>
          <w:lang w:eastAsia="zh-CN"/>
        </w:rPr>
        <w:t xml:space="preserve">Data Visualization Checklist by Stephanie Evergreen &amp; Ann K. Emery (May 2016), </w:t>
      </w:r>
      <w:hyperlink r:id="rId4" w:history="1">
        <w:r w:rsidRPr="00424DA7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eastAsia="zh-CN"/>
          </w:rPr>
          <w:t>http://stephanieevergreen.com/wp-content/uploads/2016/10/DataVizChecklist_May2016.pdf</w:t>
        </w:r>
      </w:hyperlink>
    </w:p>
    <w:sectPr w:rsidR="00DA2660" w:rsidRPr="00BD2997" w:rsidSect="00DB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DF"/>
    <w:rsid w:val="00007CF4"/>
    <w:rsid w:val="00012C9F"/>
    <w:rsid w:val="0002299B"/>
    <w:rsid w:val="00093884"/>
    <w:rsid w:val="00133EDF"/>
    <w:rsid w:val="001D5515"/>
    <w:rsid w:val="002A194D"/>
    <w:rsid w:val="00303CFF"/>
    <w:rsid w:val="00344339"/>
    <w:rsid w:val="00424DA7"/>
    <w:rsid w:val="00462508"/>
    <w:rsid w:val="00462822"/>
    <w:rsid w:val="004A5E54"/>
    <w:rsid w:val="00500EFD"/>
    <w:rsid w:val="006405BF"/>
    <w:rsid w:val="0065415A"/>
    <w:rsid w:val="006907FD"/>
    <w:rsid w:val="00691448"/>
    <w:rsid w:val="006C2108"/>
    <w:rsid w:val="006F2AA9"/>
    <w:rsid w:val="007442C8"/>
    <w:rsid w:val="00755C97"/>
    <w:rsid w:val="0076274E"/>
    <w:rsid w:val="00762E08"/>
    <w:rsid w:val="0080241B"/>
    <w:rsid w:val="00932CF0"/>
    <w:rsid w:val="00974CE3"/>
    <w:rsid w:val="00A9472B"/>
    <w:rsid w:val="00AB5700"/>
    <w:rsid w:val="00AD6C54"/>
    <w:rsid w:val="00B87458"/>
    <w:rsid w:val="00BD2997"/>
    <w:rsid w:val="00CC48A4"/>
    <w:rsid w:val="00DA2660"/>
    <w:rsid w:val="00DB09FA"/>
    <w:rsid w:val="00DC5536"/>
    <w:rsid w:val="00E153B8"/>
    <w:rsid w:val="00E46BF9"/>
    <w:rsid w:val="00E5415F"/>
    <w:rsid w:val="00EB20EE"/>
    <w:rsid w:val="00FC3AA3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792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A2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tephanieevergreen.com/wp-content/uploads/2016/10/DataVizChecklist_May2016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281</Words>
  <Characters>1603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Junting</dc:creator>
  <cp:keywords/>
  <dc:description/>
  <cp:lastModifiedBy>Lou, Junting</cp:lastModifiedBy>
  <cp:revision>10</cp:revision>
  <dcterms:created xsi:type="dcterms:W3CDTF">2019-05-17T19:50:00Z</dcterms:created>
  <dcterms:modified xsi:type="dcterms:W3CDTF">2019-05-18T06:25:00Z</dcterms:modified>
</cp:coreProperties>
</file>