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社会主义市场经济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先富带动后富，矛盾在于先富不去带动后富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不平衡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本质上，每个人都想要富裕，“德不配位”（“优绩主义”）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消极：破坏人的自由发展，加剧不平衡（马太效应）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积极：生活生产的动力，在资源条件有限的条件下优化资源配给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肯定：我们在努力地实现两者之间的平衡，（艰难的），是一种责任担当。（艰难我奋进，困乏我多情）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批判：理念是先进的，但行动实践上却不如人意。（官商勾结，形成利益集团），是群众感受到无力感，不公平。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再批判：清正廉洁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626F75EF"/>
    <w:rsid w:val="626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2024-02-02T06:33:00Z</dcterms:created>
  <dc:creator>光与影</dc:creator>
  <cp:lastModifiedBy>光与影</cp:lastModifiedBy>
  <dcterms:modified xsi:type="dcterms:W3CDTF">2024-02-02T07:12:39Z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10AD5F7B527A4A6298D3E2EB88B38F71_11</vt:lpwstr>
  </property>
</Properties>
</file>