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FC62" w14:textId="18108287" w:rsidR="006852BE" w:rsidRPr="00F57387" w:rsidRDefault="006852BE" w:rsidP="006852BE">
      <w:pPr>
        <w:jc w:val="center"/>
        <w:rPr>
          <w:rFonts w:ascii="Times New Roman" w:hAnsi="Times New Roman" w:cs="Times New Roman"/>
          <w:b/>
          <w:bCs/>
        </w:rPr>
      </w:pPr>
      <w:r w:rsidRPr="00F57387">
        <w:rPr>
          <w:rFonts w:ascii="Times New Roman" w:hAnsi="Times New Roman" w:cs="Times New Roman"/>
          <w:b/>
          <w:bCs/>
        </w:rPr>
        <w:t>APA Citation Style: Activity Two</w:t>
      </w:r>
    </w:p>
    <w:p w14:paraId="7E6FE79D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B66CDF" w14:textId="7F93C242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In the “activity two” folder, you will find </w:t>
      </w:r>
      <w:r w:rsidR="007D2D95" w:rsidRPr="00F57387">
        <w:rPr>
          <w:rFonts w:ascii="Times New Roman" w:hAnsi="Times New Roman" w:cs="Times New Roman"/>
          <w:sz w:val="22"/>
          <w:szCs w:val="22"/>
        </w:rPr>
        <w:t>9</w:t>
      </w:r>
      <w:r w:rsidRPr="00F57387">
        <w:rPr>
          <w:rFonts w:ascii="Times New Roman" w:hAnsi="Times New Roman" w:cs="Times New Roman"/>
          <w:sz w:val="22"/>
          <w:szCs w:val="22"/>
        </w:rPr>
        <w:t xml:space="preserve"> sources. Refer to the PDF file “Deakin-APA 7” or </w:t>
      </w:r>
      <w:hyperlink r:id="rId4" w:history="1">
        <w:r w:rsidRPr="00F57387">
          <w:rPr>
            <w:rStyle w:val="Hyperlink"/>
            <w:rFonts w:ascii="Times New Roman" w:hAnsi="Times New Roman" w:cs="Times New Roman"/>
            <w:sz w:val="22"/>
            <w:szCs w:val="22"/>
          </w:rPr>
          <w:t>https://library.unimelb.edu.au/recite/referencing-styles/apa7</w:t>
        </w:r>
      </w:hyperlink>
      <w:r w:rsidRPr="00F57387">
        <w:rPr>
          <w:rFonts w:ascii="Times New Roman" w:hAnsi="Times New Roman" w:cs="Times New Roman"/>
          <w:sz w:val="22"/>
          <w:szCs w:val="22"/>
        </w:rPr>
        <w:t xml:space="preserve">  and compose the reference list entry for the </w:t>
      </w:r>
      <w:r w:rsidR="007D2D95" w:rsidRPr="00F57387">
        <w:rPr>
          <w:rFonts w:ascii="Times New Roman" w:hAnsi="Times New Roman" w:cs="Times New Roman"/>
          <w:sz w:val="22"/>
          <w:szCs w:val="22"/>
        </w:rPr>
        <w:t>9</w:t>
      </w:r>
      <w:r w:rsidRPr="00F57387">
        <w:rPr>
          <w:rFonts w:ascii="Times New Roman" w:hAnsi="Times New Roman" w:cs="Times New Roman"/>
          <w:sz w:val="22"/>
          <w:szCs w:val="22"/>
        </w:rPr>
        <w:t xml:space="preserve"> sources.  </w:t>
      </w:r>
    </w:p>
    <w:p w14:paraId="5998EE5E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717C37" w14:textId="2AE9EF1C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1: </w:t>
      </w:r>
    </w:p>
    <w:p w14:paraId="796A837C" w14:textId="3FF07AC1" w:rsidR="006852BE" w:rsidRPr="00F57387" w:rsidRDefault="00453641" w:rsidP="00453641">
      <w:pPr>
        <w:adjustRightInd w:val="0"/>
        <w:snapToGrid w:val="0"/>
        <w:spacing w:before="100" w:beforeAutospacing="1" w:after="100" w:afterAutospacing="1" w:line="360" w:lineRule="auto"/>
        <w:ind w:left="200" w:hanging="200"/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>A</w:t>
      </w:r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>l-</w:t>
      </w:r>
      <w:proofErr w:type="spellStart"/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>Gahtani</w:t>
      </w:r>
      <w:proofErr w:type="spellEnd"/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 xml:space="preserve">, S., &amp; </w:t>
      </w:r>
      <w:proofErr w:type="spellStart"/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>Roever</w:t>
      </w:r>
      <w:proofErr w:type="spellEnd"/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>, C. (2012). Proficiency and sequential organization of L2 requests. </w:t>
      </w:r>
      <w:r w:rsidRPr="00F57387">
        <w:rPr>
          <w:rFonts w:ascii="Times New Roman" w:eastAsia="Microsoft YaHei" w:hAnsi="Times New Roman" w:cs="Times New Roman"/>
          <w:i/>
          <w:iCs/>
          <w:color w:val="000000"/>
          <w:kern w:val="0"/>
          <w:sz w:val="22"/>
          <w:szCs w:val="22"/>
        </w:rPr>
        <w:t>Applied Linguistics</w:t>
      </w:r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>, </w:t>
      </w:r>
      <w:r w:rsidRPr="00F57387">
        <w:rPr>
          <w:rFonts w:ascii="Times New Roman" w:eastAsia="Microsoft YaHei" w:hAnsi="Times New Roman" w:cs="Times New Roman"/>
          <w:i/>
          <w:iCs/>
          <w:color w:val="000000"/>
          <w:kern w:val="0"/>
          <w:sz w:val="22"/>
          <w:szCs w:val="22"/>
        </w:rPr>
        <w:t>33</w:t>
      </w:r>
      <w:r w:rsidRPr="00F57387">
        <w:rPr>
          <w:rFonts w:ascii="Times New Roman" w:eastAsia="Microsoft YaHei" w:hAnsi="Times New Roman" w:cs="Times New Roman"/>
          <w:color w:val="000000"/>
          <w:kern w:val="0"/>
          <w:sz w:val="22"/>
          <w:szCs w:val="22"/>
        </w:rPr>
        <w:t>, 42-65.</w:t>
      </w:r>
      <w:hyperlink r:id="rId5" w:history="1">
        <w:r w:rsidRPr="00F57387">
          <w:rPr>
            <w:rFonts w:ascii="Times New Roman" w:eastAsia="Microsoft YaHei" w:hAnsi="Times New Roman" w:cs="Times New Roman"/>
            <w:color w:val="0563C1" w:themeColor="hyperlink"/>
            <w:kern w:val="0"/>
            <w:sz w:val="22"/>
            <w:szCs w:val="22"/>
            <w:u w:val="single"/>
          </w:rPr>
          <w:t xml:space="preserve"> https://doi.org/10.1093/applin/amr031</w:t>
        </w:r>
      </w:hyperlink>
    </w:p>
    <w:p w14:paraId="5BABF1E9" w14:textId="34C20D25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>Source 2:</w:t>
      </w:r>
    </w:p>
    <w:p w14:paraId="0DA86E1E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5D45A6" w14:textId="622CF30E" w:rsidR="006852BE" w:rsidRPr="00F57387" w:rsidRDefault="00453641" w:rsidP="00F57387">
      <w:pPr>
        <w:adjustRightInd w:val="0"/>
        <w:snapToGrid w:val="0"/>
        <w:spacing w:before="100" w:beforeAutospacing="1" w:after="100" w:afterAutospacing="1" w:line="360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Wu, R. R. J. (2004). 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 xml:space="preserve">Stance in 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t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alk: A conversation analysis of Mandarin final particles</w:t>
      </w:r>
      <w:r w:rsidRPr="00F57387">
        <w:rPr>
          <w:rFonts w:ascii="Times New Roman" w:hAnsi="Times New Roman" w:cs="Times New Roman"/>
          <w:sz w:val="22"/>
          <w:szCs w:val="22"/>
        </w:rPr>
        <w:t xml:space="preserve">. </w:t>
      </w:r>
      <w:r w:rsidRPr="00F57387">
        <w:rPr>
          <w:rFonts w:ascii="Times New Roman" w:hAnsi="Times New Roman" w:cs="Times New Roman"/>
          <w:sz w:val="22"/>
          <w:szCs w:val="22"/>
        </w:rPr>
        <w:t xml:space="preserve">John </w:t>
      </w:r>
      <w:proofErr w:type="spellStart"/>
      <w:r w:rsidRPr="00F57387">
        <w:rPr>
          <w:rFonts w:ascii="Times New Roman" w:hAnsi="Times New Roman" w:cs="Times New Roman"/>
          <w:sz w:val="22"/>
          <w:szCs w:val="22"/>
        </w:rPr>
        <w:t>Benjamins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 xml:space="preserve"> Publishing Company</w:t>
      </w:r>
      <w:r w:rsidRPr="00F5738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345098D" w14:textId="179251EC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3: </w:t>
      </w:r>
    </w:p>
    <w:p w14:paraId="233642F2" w14:textId="77777777" w:rsidR="00453641" w:rsidRPr="00F57387" w:rsidRDefault="00453641" w:rsidP="006852BE">
      <w:p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14:paraId="0619C3F3" w14:textId="2A04386F" w:rsidR="006852BE" w:rsidRPr="00F57387" w:rsidRDefault="00453641" w:rsidP="00F57387">
      <w:pPr>
        <w:adjustRightInd w:val="0"/>
        <w:snapToGrid w:val="0"/>
        <w:spacing w:before="100" w:beforeAutospacing="1" w:after="100" w:afterAutospacing="1" w:line="360" w:lineRule="auto"/>
        <w:ind w:left="198" w:hanging="198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>Tang, L. (2004).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sz w:val="22"/>
          <w:szCs w:val="22"/>
        </w:rPr>
        <w:t>汉语间接拒绝言语行为的表层策略分析</w:t>
      </w:r>
      <w:r w:rsidRPr="00F57387">
        <w:rPr>
          <w:rFonts w:ascii="Times New Roman" w:hAnsi="Times New Roman" w:cs="Times New Roman"/>
          <w:sz w:val="22"/>
          <w:szCs w:val="22"/>
        </w:rPr>
        <w:t xml:space="preserve"> [</w:t>
      </w:r>
      <w:r w:rsidRPr="00F57387">
        <w:rPr>
          <w:rFonts w:ascii="Times New Roman" w:hAnsi="Times New Roman" w:cs="Times New Roman"/>
          <w:sz w:val="22"/>
          <w:szCs w:val="22"/>
        </w:rPr>
        <w:t>Indirect refusal strategies in Chinese Han language</w:t>
      </w:r>
      <w:r w:rsidRPr="00F57387">
        <w:rPr>
          <w:rFonts w:ascii="Times New Roman" w:hAnsi="Times New Roman" w:cs="Times New Roman"/>
          <w:sz w:val="22"/>
          <w:szCs w:val="22"/>
        </w:rPr>
        <w:t>]</w:t>
      </w:r>
      <w:r w:rsidRPr="00F57387">
        <w:rPr>
          <w:rFonts w:ascii="Times New Roman" w:hAnsi="Times New Roman" w:cs="Times New Roman"/>
          <w:sz w:val="22"/>
          <w:szCs w:val="22"/>
        </w:rPr>
        <w:t xml:space="preserve">. 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广西社会科学</w:t>
      </w:r>
      <w:r w:rsidR="008051AF" w:rsidRPr="00F57387">
        <w:rPr>
          <w:rFonts w:ascii="Times New Roman" w:hAnsi="Times New Roman" w:cs="Times New Roman"/>
          <w:i/>
          <w:iCs/>
          <w:sz w:val="22"/>
          <w:szCs w:val="22"/>
        </w:rPr>
        <w:t xml:space="preserve"> [</w:t>
      </w:r>
      <w:r w:rsidR="008051AF" w:rsidRPr="00F57387">
        <w:rPr>
          <w:rFonts w:ascii="Times New Roman" w:hAnsi="Times New Roman" w:cs="Times New Roman"/>
          <w:i/>
          <w:iCs/>
          <w:sz w:val="22"/>
          <w:szCs w:val="22"/>
        </w:rPr>
        <w:t>Guangxi Social Sciences</w:t>
      </w:r>
      <w:r w:rsidR="008051AF" w:rsidRPr="00F57387">
        <w:rPr>
          <w:rFonts w:ascii="Times New Roman" w:hAnsi="Times New Roman" w:cs="Times New Roman"/>
          <w:i/>
          <w:iCs/>
          <w:sz w:val="22"/>
          <w:szCs w:val="22"/>
        </w:rPr>
        <w:t>]</w:t>
      </w:r>
      <w:r w:rsidRPr="00F57387">
        <w:rPr>
          <w:rFonts w:ascii="Times New Roman" w:hAnsi="Times New Roman" w:cs="Times New Roman"/>
          <w:sz w:val="22"/>
          <w:szCs w:val="22"/>
        </w:rPr>
        <w:t>, 10, 117-119.</w:t>
      </w:r>
    </w:p>
    <w:p w14:paraId="32921DB7" w14:textId="77777777" w:rsidR="008051AF" w:rsidRPr="00F57387" w:rsidRDefault="008051AF" w:rsidP="006852BE">
      <w:p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14:paraId="7CEA304D" w14:textId="62A513C8" w:rsidR="008051AF" w:rsidRPr="00F57387" w:rsidRDefault="008051AF" w:rsidP="006852BE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F57387">
        <w:rPr>
          <w:rFonts w:ascii="Times New Roman" w:hAnsi="Times New Roman" w:cs="Times New Roman"/>
          <w:b/>
          <w:iCs/>
          <w:sz w:val="22"/>
          <w:szCs w:val="22"/>
        </w:rPr>
        <w:t xml:space="preserve">Or: use transliteration format for original Chinese characters. </w:t>
      </w:r>
    </w:p>
    <w:p w14:paraId="55DE9EE7" w14:textId="77777777" w:rsidR="008051AF" w:rsidRPr="00F57387" w:rsidRDefault="008051AF" w:rsidP="006852BE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</w:p>
    <w:p w14:paraId="60048003" w14:textId="488CF5A7" w:rsidR="008051AF" w:rsidRPr="00F57387" w:rsidRDefault="008051AF" w:rsidP="00F57387">
      <w:pPr>
        <w:ind w:left="198" w:hanging="198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F57387">
        <w:rPr>
          <w:rFonts w:ascii="Times New Roman" w:hAnsi="Times New Roman" w:cs="Times New Roman"/>
          <w:bCs/>
          <w:iCs/>
          <w:sz w:val="22"/>
          <w:szCs w:val="22"/>
        </w:rPr>
        <w:t xml:space="preserve">Tang, L. (2004). </w:t>
      </w:r>
      <w:proofErr w:type="spellStart"/>
      <w:r w:rsidRPr="00F57387">
        <w:rPr>
          <w:rFonts w:ascii="Times New Roman" w:hAnsi="Times New Roman" w:cs="Times New Roman"/>
          <w:bCs/>
          <w:iCs/>
          <w:sz w:val="22"/>
          <w:szCs w:val="22"/>
        </w:rPr>
        <w:t>H</w:t>
      </w:r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ànyǔ</w:t>
      </w:r>
      <w:proofErr w:type="spellEnd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jiànjiē</w:t>
      </w:r>
      <w:proofErr w:type="spellEnd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jùjué</w:t>
      </w:r>
      <w:proofErr w:type="spellEnd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yányǔ</w:t>
      </w:r>
      <w:proofErr w:type="spellEnd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xíngwéi</w:t>
      </w:r>
      <w:proofErr w:type="spellEnd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de </w:t>
      </w:r>
      <w:proofErr w:type="spellStart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biǎocéng</w:t>
      </w:r>
      <w:proofErr w:type="spellEnd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cèlüè </w:t>
      </w:r>
      <w:proofErr w:type="spellStart"/>
      <w:r w:rsidRPr="00F57387">
        <w:rPr>
          <w:rFonts w:ascii="Times New Roman" w:hAnsi="Times New Roman" w:cs="Times New Roman"/>
          <w:sz w:val="22"/>
          <w:szCs w:val="22"/>
          <w:shd w:val="clear" w:color="auto" w:fill="FFFFFF"/>
        </w:rPr>
        <w:t>fēnxī</w:t>
      </w:r>
      <w:proofErr w:type="spellEnd"/>
      <w:r w:rsidRPr="00F57387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bCs/>
          <w:iCs/>
          <w:sz w:val="22"/>
          <w:szCs w:val="22"/>
        </w:rPr>
        <w:t xml:space="preserve">[Indirect refusal strategies in Chinese Han language]. </w:t>
      </w:r>
      <w:proofErr w:type="spellStart"/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Guǎngxī</w:t>
      </w:r>
      <w:proofErr w:type="spellEnd"/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S</w:t>
      </w:r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hèhuì</w:t>
      </w:r>
      <w:proofErr w:type="spellEnd"/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K</w:t>
      </w:r>
      <w:r w:rsidRPr="00F5738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ēxué</w:t>
      </w:r>
      <w:proofErr w:type="spellEnd"/>
      <w:r w:rsidRPr="00F5738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[Guangxi Social Sciences], 10</w:t>
      </w:r>
      <w:r w:rsidRPr="00F57387">
        <w:rPr>
          <w:rFonts w:ascii="Times New Roman" w:hAnsi="Times New Roman" w:cs="Times New Roman"/>
          <w:bCs/>
          <w:iCs/>
          <w:sz w:val="22"/>
          <w:szCs w:val="22"/>
        </w:rPr>
        <w:t>, 117-119.</w:t>
      </w:r>
    </w:p>
    <w:p w14:paraId="0545B314" w14:textId="77777777" w:rsidR="006852BE" w:rsidRPr="00F57387" w:rsidRDefault="006852BE" w:rsidP="00F57387">
      <w:pPr>
        <w:ind w:left="198" w:hanging="198"/>
        <w:jc w:val="both"/>
        <w:rPr>
          <w:rFonts w:ascii="Times New Roman" w:hAnsi="Times New Roman" w:cs="Times New Roman"/>
          <w:sz w:val="22"/>
          <w:szCs w:val="22"/>
        </w:rPr>
      </w:pPr>
    </w:p>
    <w:p w14:paraId="6AFE361F" w14:textId="3966CD1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4: </w:t>
      </w:r>
    </w:p>
    <w:p w14:paraId="1D5F37DD" w14:textId="77777777" w:rsidR="00E74510" w:rsidRPr="00F57387" w:rsidRDefault="00E74510" w:rsidP="008051AF">
      <w:pPr>
        <w:spacing w:line="360" w:lineRule="auto"/>
        <w:rPr>
          <w:rFonts w:ascii="Times New Roman" w:eastAsia="DengXian" w:hAnsi="Times New Roman" w:cs="Times New Roman"/>
          <w:sz w:val="22"/>
          <w:szCs w:val="22"/>
        </w:rPr>
      </w:pPr>
    </w:p>
    <w:p w14:paraId="573B56D5" w14:textId="271E9BE3" w:rsidR="008051AF" w:rsidRPr="00F57387" w:rsidRDefault="008051AF" w:rsidP="00F57387">
      <w:pPr>
        <w:spacing w:line="360" w:lineRule="auto"/>
        <w:ind w:left="198" w:hanging="198"/>
        <w:rPr>
          <w:rFonts w:ascii="Times New Roman" w:eastAsia="DengXian" w:hAnsi="Times New Roman" w:cs="Times New Roman"/>
          <w:sz w:val="22"/>
          <w:szCs w:val="22"/>
        </w:rPr>
      </w:pPr>
      <w:r w:rsidRPr="00F57387">
        <w:rPr>
          <w:rFonts w:ascii="Times New Roman" w:eastAsia="DengXian" w:hAnsi="Times New Roman" w:cs="Times New Roman"/>
          <w:sz w:val="22"/>
          <w:szCs w:val="22"/>
        </w:rPr>
        <w:t>D</w:t>
      </w:r>
      <w:r w:rsidRPr="00F57387">
        <w:rPr>
          <w:rFonts w:ascii="Times New Roman" w:eastAsia="DengXian" w:hAnsi="Times New Roman" w:cs="Times New Roman"/>
          <w:sz w:val="22"/>
          <w:szCs w:val="22"/>
        </w:rPr>
        <w:t xml:space="preserve">epartment of </w:t>
      </w:r>
      <w:r w:rsidRPr="00F57387">
        <w:rPr>
          <w:rFonts w:ascii="Times New Roman" w:eastAsia="DengXian" w:hAnsi="Times New Roman" w:cs="Times New Roman"/>
          <w:sz w:val="22"/>
          <w:szCs w:val="22"/>
        </w:rPr>
        <w:t>E</w:t>
      </w:r>
      <w:r w:rsidRPr="00F57387">
        <w:rPr>
          <w:rFonts w:ascii="Times New Roman" w:eastAsia="DengXian" w:hAnsi="Times New Roman" w:cs="Times New Roman"/>
          <w:sz w:val="22"/>
          <w:szCs w:val="22"/>
        </w:rPr>
        <w:t xml:space="preserve">ducation and Training Victoria. </w:t>
      </w:r>
      <w:r w:rsidRPr="00F57387">
        <w:rPr>
          <w:rFonts w:ascii="Times New Roman" w:eastAsia="DengXian" w:hAnsi="Times New Roman" w:cs="Times New Roman"/>
          <w:sz w:val="22"/>
          <w:szCs w:val="22"/>
        </w:rPr>
        <w:t>(2021)</w:t>
      </w:r>
      <w:r w:rsidRPr="00F57387">
        <w:rPr>
          <w:rFonts w:ascii="Times New Roman" w:eastAsia="DengXian" w:hAnsi="Times New Roman" w:cs="Times New Roman"/>
          <w:sz w:val="22"/>
          <w:szCs w:val="22"/>
        </w:rPr>
        <w:t>.</w:t>
      </w:r>
      <w:r w:rsidRPr="00F57387">
        <w:rPr>
          <w:rFonts w:ascii="Times New Roman" w:eastAsia="DengXi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eastAsia="DengXian" w:hAnsi="Times New Roman" w:cs="Times New Roman"/>
          <w:i/>
          <w:iCs/>
          <w:sz w:val="22"/>
          <w:szCs w:val="22"/>
        </w:rPr>
        <w:t>Bullying prevention and response</w:t>
      </w:r>
      <w:r w:rsidR="00E74510" w:rsidRPr="00F57387">
        <w:rPr>
          <w:rFonts w:ascii="Times New Roman" w:eastAsia="DengXian" w:hAnsi="Times New Roman" w:cs="Times New Roman"/>
          <w:sz w:val="22"/>
          <w:szCs w:val="22"/>
        </w:rPr>
        <w:t xml:space="preserve">. Victoria State Government. </w:t>
      </w:r>
      <w:hyperlink r:id="rId6" w:history="1">
        <w:r w:rsidR="00E74510" w:rsidRPr="00F57387">
          <w:rPr>
            <w:rStyle w:val="Hyperlink"/>
            <w:rFonts w:ascii="Times New Roman" w:eastAsia="DengXian" w:hAnsi="Times New Roman" w:cs="Times New Roman"/>
            <w:sz w:val="22"/>
            <w:szCs w:val="22"/>
          </w:rPr>
          <w:t>https://www2.education.vic.gov.au/pal/bullying-prevention-response/policy</w:t>
        </w:r>
      </w:hyperlink>
    </w:p>
    <w:p w14:paraId="19021C29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5E775C" w14:textId="485B417B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5: </w:t>
      </w:r>
    </w:p>
    <w:p w14:paraId="53AAC14A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4A5D66" w14:textId="42BDE637" w:rsidR="006852BE" w:rsidRPr="00F57387" w:rsidRDefault="00E74510" w:rsidP="00F57387">
      <w:pPr>
        <w:ind w:left="198" w:hanging="198"/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Chen, Z. (2024, February 20). </w:t>
      </w:r>
      <w:r w:rsidRPr="00F57387">
        <w:rPr>
          <w:rFonts w:ascii="Times New Roman" w:hAnsi="Times New Roman" w:cs="Times New Roman"/>
          <w:sz w:val="22"/>
          <w:szCs w:val="22"/>
        </w:rPr>
        <w:t>China must embrace new era of AI revolution</w:t>
      </w:r>
      <w:r w:rsidRPr="00F57387">
        <w:rPr>
          <w:rFonts w:ascii="Times New Roman" w:hAnsi="Times New Roman" w:cs="Times New Roman"/>
          <w:sz w:val="22"/>
          <w:szCs w:val="22"/>
        </w:rPr>
        <w:t xml:space="preserve">. 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 xml:space="preserve">China Daily. </w:t>
      </w:r>
      <w:hyperlink r:id="rId7" w:history="1">
        <w:r w:rsidRPr="00F57387">
          <w:rPr>
            <w:rStyle w:val="Hyperlink"/>
            <w:rFonts w:ascii="Times New Roman" w:hAnsi="Times New Roman" w:cs="Times New Roman"/>
            <w:sz w:val="22"/>
            <w:szCs w:val="22"/>
          </w:rPr>
          <w:t>https://www.chinadaily.com.cn/a/202402/20/WS65d42bf2a31082fc043b81cf.html</w:t>
        </w:r>
      </w:hyperlink>
    </w:p>
    <w:p w14:paraId="41FDD0AA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9826A0B" w14:textId="1EAE56D9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6: </w:t>
      </w:r>
    </w:p>
    <w:p w14:paraId="162F3570" w14:textId="77777777" w:rsidR="00E74510" w:rsidRPr="00F57387" w:rsidRDefault="00E74510" w:rsidP="00E74510">
      <w:pPr>
        <w:spacing w:line="360" w:lineRule="auto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bookmarkStart w:id="0" w:name="_Hlk146576858"/>
      <w:bookmarkStart w:id="1" w:name="_Hlk146742892"/>
    </w:p>
    <w:p w14:paraId="2F27C913" w14:textId="6E5D4ABF" w:rsidR="00E74510" w:rsidRPr="00F57387" w:rsidRDefault="00E74510" w:rsidP="00E74510">
      <w:pPr>
        <w:spacing w:line="360" w:lineRule="auto"/>
        <w:ind w:left="440" w:hangingChars="200" w:hanging="440"/>
        <w:rPr>
          <w:rStyle w:val="Hyperlink"/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>Australian Institute for Teaching and School Leadership</w:t>
      </w:r>
      <w:bookmarkEnd w:id="0"/>
      <w:r w:rsidRPr="00F57387">
        <w:rPr>
          <w:rFonts w:ascii="Times New Roman" w:hAnsi="Times New Roman" w:cs="Times New Roman"/>
          <w:sz w:val="22"/>
          <w:szCs w:val="22"/>
        </w:rPr>
        <w:t xml:space="preserve">. </w:t>
      </w:r>
      <w:bookmarkEnd w:id="1"/>
      <w:r w:rsidRPr="00F57387">
        <w:rPr>
          <w:rFonts w:ascii="Times New Roman" w:hAnsi="Times New Roman" w:cs="Times New Roman"/>
          <w:sz w:val="22"/>
          <w:szCs w:val="22"/>
        </w:rPr>
        <w:t>(n.d.)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. Australian professional standards for teachers</w:t>
      </w:r>
      <w:r w:rsidRPr="00F57387">
        <w:rPr>
          <w:rFonts w:ascii="Times New Roman" w:hAnsi="Times New Roman" w:cs="Times New Roman"/>
          <w:sz w:val="22"/>
          <w:szCs w:val="22"/>
        </w:rPr>
        <w:t xml:space="preserve">. AITSL. </w:t>
      </w:r>
      <w:hyperlink r:id="rId8" w:history="1">
        <w:r w:rsidRPr="00F57387">
          <w:rPr>
            <w:rStyle w:val="Hyperlink"/>
            <w:rFonts w:ascii="Times New Roman" w:hAnsi="Times New Roman" w:cs="Times New Roman"/>
            <w:sz w:val="22"/>
            <w:szCs w:val="22"/>
          </w:rPr>
          <w:t>https://www.aitsl.edu.au/standards/graduate</w:t>
        </w:r>
      </w:hyperlink>
    </w:p>
    <w:p w14:paraId="290CF12A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CFBA465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AE5CCC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C50A47" w14:textId="3BFB83A4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7: </w:t>
      </w:r>
    </w:p>
    <w:p w14:paraId="3409BE01" w14:textId="77777777" w:rsidR="00095EE2" w:rsidRPr="00F57387" w:rsidRDefault="00095EE2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6737E6" w14:textId="2D221515" w:rsidR="006852BE" w:rsidRPr="00F57387" w:rsidRDefault="00095EE2" w:rsidP="00F57387">
      <w:pPr>
        <w:ind w:left="198" w:hanging="198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57387">
        <w:rPr>
          <w:rFonts w:ascii="Times New Roman" w:hAnsi="Times New Roman" w:cs="Times New Roman"/>
          <w:sz w:val="22"/>
          <w:szCs w:val="22"/>
        </w:rPr>
        <w:t>Su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>, Y., &amp; Ren, W. (2017). Developing L2 pragmatic competence in Mandarin Chinese: Sequential realization of requests. 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Foreign Language Annals</w:t>
      </w:r>
      <w:r w:rsidRPr="00F57387">
        <w:rPr>
          <w:rFonts w:ascii="Times New Roman" w:hAnsi="Times New Roman" w:cs="Times New Roman"/>
          <w:sz w:val="22"/>
          <w:szCs w:val="22"/>
        </w:rPr>
        <w:t>, 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50</w:t>
      </w:r>
      <w:r w:rsidRPr="00F57387">
        <w:rPr>
          <w:rFonts w:ascii="Times New Roman" w:hAnsi="Times New Roman" w:cs="Times New Roman"/>
          <w:sz w:val="22"/>
          <w:szCs w:val="22"/>
        </w:rPr>
        <w:t>(2), 433-457.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F57387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https://doi.org/10.1111/flan.12263</w:t>
        </w:r>
      </w:hyperlink>
    </w:p>
    <w:p w14:paraId="709F5A27" w14:textId="77777777" w:rsidR="00095EE2" w:rsidRPr="00F57387" w:rsidRDefault="00095EE2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2D736E" w14:textId="77777777" w:rsidR="00095EE2" w:rsidRPr="00F57387" w:rsidRDefault="00095EE2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005B7C" w14:textId="74CAEE86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Source 8: </w:t>
      </w:r>
    </w:p>
    <w:p w14:paraId="544C8709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12F858" w14:textId="4C3F09ED" w:rsidR="00F57387" w:rsidRPr="00F57387" w:rsidRDefault="00F57387" w:rsidP="00F57387">
      <w:pPr>
        <w:ind w:left="198" w:hanging="198"/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Brown, L. (2013). </w:t>
      </w:r>
      <w:r w:rsidRPr="00F57387">
        <w:rPr>
          <w:rFonts w:ascii="Times New Roman" w:hAnsi="Times New Roman" w:cs="Times New Roman"/>
          <w:sz w:val="22"/>
          <w:szCs w:val="22"/>
        </w:rPr>
        <w:t>Getting to know students: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sz w:val="22"/>
          <w:szCs w:val="22"/>
        </w:rPr>
        <w:t>Developing culturally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sz w:val="22"/>
          <w:szCs w:val="22"/>
        </w:rPr>
        <w:t>relevant practices for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sz w:val="22"/>
          <w:szCs w:val="22"/>
        </w:rPr>
        <w:t>reading and writing</w:t>
      </w:r>
      <w:r w:rsidRPr="00F57387">
        <w:rPr>
          <w:rFonts w:ascii="Times New Roman" w:hAnsi="Times New Roman" w:cs="Times New Roman"/>
          <w:sz w:val="22"/>
          <w:szCs w:val="22"/>
        </w:rPr>
        <w:t xml:space="preserve">. In A. S. </w:t>
      </w:r>
      <w:r w:rsidRPr="00F57387">
        <w:rPr>
          <w:rFonts w:ascii="Times New Roman" w:hAnsi="Times New Roman" w:cs="Times New Roman"/>
          <w:sz w:val="22"/>
          <w:szCs w:val="22"/>
        </w:rPr>
        <w:t xml:space="preserve">Flint, </w:t>
      </w:r>
      <w:r w:rsidRPr="00F57387">
        <w:rPr>
          <w:rFonts w:ascii="Times New Roman" w:hAnsi="Times New Roman" w:cs="Times New Roman"/>
          <w:sz w:val="22"/>
          <w:szCs w:val="22"/>
        </w:rPr>
        <w:t xml:space="preserve">M. </w:t>
      </w:r>
      <w:r w:rsidRPr="00F57387">
        <w:rPr>
          <w:rFonts w:ascii="Times New Roman" w:hAnsi="Times New Roman" w:cs="Times New Roman"/>
          <w:sz w:val="22"/>
          <w:szCs w:val="22"/>
        </w:rPr>
        <w:t>Vicars</w:t>
      </w:r>
      <w:r w:rsidRPr="00F57387">
        <w:rPr>
          <w:rFonts w:ascii="Times New Roman" w:hAnsi="Times New Roman" w:cs="Times New Roman"/>
          <w:sz w:val="22"/>
          <w:szCs w:val="22"/>
        </w:rPr>
        <w:t>,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sz w:val="22"/>
          <w:szCs w:val="22"/>
        </w:rPr>
        <w:t xml:space="preserve">A. </w:t>
      </w:r>
      <w:r w:rsidRPr="00F57387">
        <w:rPr>
          <w:rFonts w:ascii="Times New Roman" w:hAnsi="Times New Roman" w:cs="Times New Roman"/>
          <w:sz w:val="22"/>
          <w:szCs w:val="22"/>
        </w:rPr>
        <w:t xml:space="preserve">Muscat, </w:t>
      </w:r>
      <w:r w:rsidRPr="00F57387">
        <w:rPr>
          <w:rFonts w:ascii="Times New Roman" w:hAnsi="Times New Roman" w:cs="Times New Roman"/>
          <w:sz w:val="22"/>
          <w:szCs w:val="22"/>
        </w:rPr>
        <w:t xml:space="preserve">M. </w:t>
      </w:r>
      <w:r w:rsidRPr="00F57387">
        <w:rPr>
          <w:rFonts w:ascii="Times New Roman" w:hAnsi="Times New Roman" w:cs="Times New Roman"/>
          <w:sz w:val="22"/>
          <w:szCs w:val="22"/>
        </w:rPr>
        <w:t xml:space="preserve">Bennet, </w:t>
      </w:r>
      <w:r w:rsidRPr="00F57387">
        <w:rPr>
          <w:rFonts w:ascii="Times New Roman" w:hAnsi="Times New Roman" w:cs="Times New Roman"/>
          <w:sz w:val="22"/>
          <w:szCs w:val="22"/>
        </w:rPr>
        <w:t xml:space="preserve">R. </w:t>
      </w:r>
      <w:r w:rsidRPr="00F57387">
        <w:rPr>
          <w:rFonts w:ascii="Times New Roman" w:hAnsi="Times New Roman" w:cs="Times New Roman"/>
          <w:sz w:val="22"/>
          <w:szCs w:val="22"/>
        </w:rPr>
        <w:t xml:space="preserve">Ewing, </w:t>
      </w:r>
      <w:r w:rsidRPr="00F57387">
        <w:rPr>
          <w:rFonts w:ascii="Times New Roman" w:hAnsi="Times New Roman" w:cs="Times New Roman"/>
          <w:sz w:val="22"/>
          <w:szCs w:val="22"/>
        </w:rPr>
        <w:t xml:space="preserve">K. </w:t>
      </w:r>
      <w:r w:rsidRPr="00F57387">
        <w:rPr>
          <w:rFonts w:ascii="Times New Roman" w:hAnsi="Times New Roman" w:cs="Times New Roman"/>
          <w:sz w:val="22"/>
          <w:szCs w:val="22"/>
        </w:rPr>
        <w:t>Shaw</w:t>
      </w:r>
      <w:r w:rsidRPr="00F57387">
        <w:rPr>
          <w:rFonts w:ascii="Times New Roman" w:hAnsi="Times New Roman" w:cs="Times New Roman"/>
          <w:sz w:val="22"/>
          <w:szCs w:val="22"/>
        </w:rPr>
        <w:t>,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</w:rPr>
        <w:t xml:space="preserve">L. </w:t>
      </w:r>
      <w:r w:rsidRPr="00F57387">
        <w:rPr>
          <w:rFonts w:ascii="Times New Roman" w:hAnsi="Times New Roman" w:cs="Times New Roman"/>
          <w:sz w:val="22"/>
          <w:szCs w:val="22"/>
        </w:rPr>
        <w:t>Kervin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>,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r w:rsidRPr="00F57387">
        <w:rPr>
          <w:rFonts w:ascii="Times New Roman" w:hAnsi="Times New Roman" w:cs="Times New Roman"/>
          <w:sz w:val="22"/>
          <w:szCs w:val="22"/>
        </w:rPr>
        <w:t xml:space="preserve">J. </w:t>
      </w:r>
      <w:proofErr w:type="spellStart"/>
      <w:r w:rsidRPr="00F57387">
        <w:rPr>
          <w:rFonts w:ascii="Times New Roman" w:hAnsi="Times New Roman" w:cs="Times New Roman"/>
          <w:sz w:val="22"/>
          <w:szCs w:val="22"/>
        </w:rPr>
        <w:t>Mantei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>, J.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</w:rPr>
        <w:t>Iorio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>, C.</w:t>
      </w:r>
      <w:r w:rsidRPr="00F57387">
        <w:rPr>
          <w:rFonts w:ascii="Times New Roman" w:hAnsi="Times New Roman" w:cs="Times New Roman"/>
          <w:sz w:val="22"/>
          <w:szCs w:val="22"/>
        </w:rPr>
        <w:t xml:space="preserve"> Hamm, M</w:t>
      </w:r>
      <w:r w:rsidRPr="00F57387">
        <w:rPr>
          <w:rFonts w:ascii="Times New Roman" w:hAnsi="Times New Roman" w:cs="Times New Roman"/>
          <w:sz w:val="22"/>
          <w:szCs w:val="22"/>
        </w:rPr>
        <w:t>.</w:t>
      </w:r>
      <w:r w:rsidRPr="00F57387">
        <w:rPr>
          <w:rFonts w:ascii="Times New Roman" w:hAnsi="Times New Roman" w:cs="Times New Roman"/>
          <w:sz w:val="22"/>
          <w:szCs w:val="22"/>
        </w:rPr>
        <w:t xml:space="preserve"> Parker, M</w:t>
      </w:r>
      <w:r w:rsidRPr="00F57387">
        <w:rPr>
          <w:rFonts w:ascii="Times New Roman" w:hAnsi="Times New Roman" w:cs="Times New Roman"/>
          <w:sz w:val="22"/>
          <w:szCs w:val="22"/>
        </w:rPr>
        <w:t>.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</w:rPr>
        <w:t>Cacciattolo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 xml:space="preserve">, </w:t>
      </w:r>
      <w:r w:rsidRPr="00F57387">
        <w:rPr>
          <w:rFonts w:ascii="Times New Roman" w:hAnsi="Times New Roman" w:cs="Times New Roman"/>
          <w:sz w:val="22"/>
          <w:szCs w:val="22"/>
        </w:rPr>
        <w:t xml:space="preserve">L. </w:t>
      </w:r>
      <w:r w:rsidRPr="00F57387">
        <w:rPr>
          <w:rFonts w:ascii="Times New Roman" w:hAnsi="Times New Roman" w:cs="Times New Roman"/>
          <w:sz w:val="22"/>
          <w:szCs w:val="22"/>
        </w:rPr>
        <w:t>Mahon</w:t>
      </w:r>
      <w:r w:rsidRPr="00F57387">
        <w:rPr>
          <w:rFonts w:ascii="Times New Roman" w:hAnsi="Times New Roman" w:cs="Times New Roman"/>
          <w:sz w:val="22"/>
          <w:szCs w:val="22"/>
        </w:rPr>
        <w:t xml:space="preserve"> &amp;</w:t>
      </w:r>
      <w:r w:rsidRPr="00F57387">
        <w:rPr>
          <w:rFonts w:ascii="Times New Roman" w:hAnsi="Times New Roman" w:cs="Times New Roman"/>
          <w:sz w:val="22"/>
          <w:szCs w:val="22"/>
        </w:rPr>
        <w:t xml:space="preserve"> S</w:t>
      </w:r>
      <w:r w:rsidRPr="00F57387">
        <w:rPr>
          <w:rFonts w:ascii="Times New Roman" w:hAnsi="Times New Roman" w:cs="Times New Roman"/>
          <w:sz w:val="22"/>
          <w:szCs w:val="22"/>
        </w:rPr>
        <w:t>.</w:t>
      </w:r>
      <w:r w:rsidRPr="00F5738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7387">
        <w:rPr>
          <w:rFonts w:ascii="Times New Roman" w:hAnsi="Times New Roman" w:cs="Times New Roman"/>
          <w:sz w:val="22"/>
          <w:szCs w:val="22"/>
        </w:rPr>
        <w:t>Tartakover</w:t>
      </w:r>
      <w:proofErr w:type="spellEnd"/>
      <w:r w:rsidRPr="00F57387">
        <w:rPr>
          <w:rFonts w:ascii="Times New Roman" w:hAnsi="Times New Roman" w:cs="Times New Roman"/>
          <w:sz w:val="22"/>
          <w:szCs w:val="22"/>
        </w:rPr>
        <w:t xml:space="preserve"> (Eds.), 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Literacy in Australia</w:t>
      </w:r>
      <w:r w:rsidRPr="00F57387">
        <w:rPr>
          <w:rFonts w:ascii="Times New Roman" w:hAnsi="Times New Roman" w:cs="Times New Roman"/>
          <w:sz w:val="22"/>
          <w:szCs w:val="22"/>
        </w:rPr>
        <w:t xml:space="preserve"> (pp.64-94). Wiley. </w:t>
      </w:r>
    </w:p>
    <w:p w14:paraId="76BFC4FC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369BF0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138143" w14:textId="6F94DA0A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>Source 9:</w:t>
      </w:r>
    </w:p>
    <w:p w14:paraId="3D7DEC18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A96823" w14:textId="77777777" w:rsidR="00F57387" w:rsidRPr="00F57387" w:rsidRDefault="00F57387" w:rsidP="00F57387">
      <w:pPr>
        <w:spacing w:line="360" w:lineRule="auto"/>
        <w:ind w:left="440" w:hangingChars="200" w:hanging="440"/>
        <w:rPr>
          <w:rStyle w:val="Hyperlink"/>
          <w:rFonts w:ascii="Times New Roman" w:hAnsi="Times New Roman" w:cs="Times New Roman"/>
          <w:sz w:val="22"/>
          <w:szCs w:val="22"/>
        </w:rPr>
      </w:pPr>
      <w:r w:rsidRPr="00F57387">
        <w:rPr>
          <w:rFonts w:ascii="Times New Roman" w:hAnsi="Times New Roman" w:cs="Times New Roman"/>
          <w:sz w:val="22"/>
          <w:szCs w:val="22"/>
        </w:rPr>
        <w:t xml:space="preserve">Department of Education and Training Victoria. (2017). </w:t>
      </w:r>
      <w:r w:rsidRPr="00F57387">
        <w:rPr>
          <w:rFonts w:ascii="Times New Roman" w:hAnsi="Times New Roman" w:cs="Times New Roman"/>
          <w:i/>
          <w:iCs/>
          <w:sz w:val="22"/>
          <w:szCs w:val="22"/>
        </w:rPr>
        <w:t>High impact teaching strategies</w:t>
      </w:r>
      <w:r w:rsidRPr="00F57387">
        <w:rPr>
          <w:rFonts w:ascii="Times New Roman" w:hAnsi="Times New Roman" w:cs="Times New Roman"/>
          <w:sz w:val="22"/>
          <w:szCs w:val="22"/>
        </w:rPr>
        <w:t xml:space="preserve">. Victoria State Government. </w:t>
      </w:r>
      <w:hyperlink r:id="rId10" w:history="1">
        <w:r w:rsidRPr="00F57387">
          <w:rPr>
            <w:rStyle w:val="Hyperlink"/>
            <w:rFonts w:ascii="Times New Roman" w:hAnsi="Times New Roman" w:cs="Times New Roman"/>
            <w:sz w:val="22"/>
            <w:szCs w:val="22"/>
          </w:rPr>
          <w:t>https://www.education.vic.gov.au/school/teachers/teachingresources/practice/improve/Pages/hits.aspx</w:t>
        </w:r>
      </w:hyperlink>
    </w:p>
    <w:p w14:paraId="315BF591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FF14348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885E726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18F41E" w14:textId="77777777" w:rsidR="006852BE" w:rsidRPr="00F57387" w:rsidRDefault="006852BE" w:rsidP="006852BE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6852BE" w:rsidRPr="00F57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BE"/>
    <w:rsid w:val="00095EE2"/>
    <w:rsid w:val="00453641"/>
    <w:rsid w:val="006852BE"/>
    <w:rsid w:val="007D2D95"/>
    <w:rsid w:val="008051AF"/>
    <w:rsid w:val="00E74510"/>
    <w:rsid w:val="00F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8723"/>
  <w15:chartTrackingRefBased/>
  <w15:docId w15:val="{14B771F5-4445-FE46-B0DD-96CFC5B3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tsl.edu.au/standards/gradu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inadaily.com.cn/a/202402/20/WS65d42bf2a31082fc043b81cf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education.vic.gov.au/pal/bullying-prevention-response/policy" TargetMode="External"/><Relationship Id="rId11" Type="http://schemas.openxmlformats.org/officeDocument/2006/relationships/fontTable" Target="fontTable.xml"/><Relationship Id="rId5" Type="http://schemas.openxmlformats.org/officeDocument/2006/relationships/hyperlink" Target="%20https:/doi.org/10.1093/applin/amr031" TargetMode="External"/><Relationship Id="rId10" Type="http://schemas.openxmlformats.org/officeDocument/2006/relationships/hyperlink" Target="https://www.education.vic.gov.au/school/teachers/teachingresources/practice/improve/Pages/hits.aspx" TargetMode="External"/><Relationship Id="rId4" Type="http://schemas.openxmlformats.org/officeDocument/2006/relationships/hyperlink" Target="https://library.unimelb.edu.au/recite/referencing-styles/apa7" TargetMode="External"/><Relationship Id="rId9" Type="http://schemas.openxmlformats.org/officeDocument/2006/relationships/hyperlink" Target="https://doi.org/10.1111/flan.12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WU</dc:creator>
  <cp:keywords/>
  <dc:description/>
  <cp:lastModifiedBy>JINGXUAN WU</cp:lastModifiedBy>
  <cp:revision>3</cp:revision>
  <dcterms:created xsi:type="dcterms:W3CDTF">2024-02-20T05:33:00Z</dcterms:created>
  <dcterms:modified xsi:type="dcterms:W3CDTF">2024-02-20T07:02:00Z</dcterms:modified>
</cp:coreProperties>
</file>