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1F6" w:rsidRDefault="009B6B60">
      <w:r>
        <w:t>1. Financial managers are supposed to make three types of important decisions: acquisition, financing, and asset management. Determining what is the optimal mix between debt and equity in the capital structure of a firm is most likely associated with which of the following functions?</w:t>
      </w:r>
    </w:p>
    <w:p w:rsidR="009B6B60" w:rsidRDefault="009B6B60">
      <w:r>
        <w:t>(A) Acquisition</w:t>
      </w:r>
    </w:p>
    <w:p w:rsidR="009B6B60" w:rsidRPr="006E14DC" w:rsidRDefault="009B6B60">
      <w:pPr>
        <w:rPr>
          <w:color w:val="FF0000"/>
        </w:rPr>
      </w:pPr>
      <w:r w:rsidRPr="006E14DC">
        <w:rPr>
          <w:color w:val="FF0000"/>
        </w:rPr>
        <w:t>(B) Financing</w:t>
      </w:r>
    </w:p>
    <w:p w:rsidR="009B6B60" w:rsidRDefault="009B6B60">
      <w:r>
        <w:t>(C) Asset management</w:t>
      </w:r>
      <w:bookmarkStart w:id="0" w:name="_GoBack"/>
      <w:bookmarkEnd w:id="0"/>
    </w:p>
    <w:p w:rsidR="009B6B60" w:rsidRDefault="009B6B60"/>
    <w:p w:rsidR="009B6B60" w:rsidRDefault="009B6B60">
      <w:r>
        <w:t xml:space="preserve">2. </w:t>
      </w:r>
      <w:r w:rsidR="008405EB">
        <w:t xml:space="preserve">Which of the following does NOT </w:t>
      </w:r>
      <w:r w:rsidR="00747F2A">
        <w:t>indicate</w:t>
      </w:r>
      <w:r w:rsidR="008405EB">
        <w:t xml:space="preserve"> </w:t>
      </w:r>
      <w:r w:rsidR="00747F2A">
        <w:t xml:space="preserve">the reason </w:t>
      </w:r>
      <w:r w:rsidR="008405EB">
        <w:t>why the stock price of a firm represents shareholder value better than earnings per share (EPS)?</w:t>
      </w:r>
    </w:p>
    <w:p w:rsidR="008405EB" w:rsidRDefault="008405EB">
      <w:r>
        <w:t xml:space="preserve">(A) The stock price is a </w:t>
      </w:r>
      <w:r w:rsidR="002B5796">
        <w:t>forward-looking measure in a sense that it incorporates information about future profitability of the firm</w:t>
      </w:r>
    </w:p>
    <w:p w:rsidR="008405EB" w:rsidRDefault="008405EB">
      <w:r>
        <w:t>(</w:t>
      </w:r>
      <w:r w:rsidR="00C03136">
        <w:t>B</w:t>
      </w:r>
      <w:r>
        <w:t>)</w:t>
      </w:r>
      <w:r w:rsidR="002B5796">
        <w:t xml:space="preserve"> If the CEO’s financial compensations are tied to EPS instead of the stock price, no dividend will be paid out, in which case some shareholders will be unhappy</w:t>
      </w:r>
    </w:p>
    <w:p w:rsidR="008405EB" w:rsidRPr="006E14DC" w:rsidRDefault="008405EB">
      <w:pPr>
        <w:rPr>
          <w:color w:val="FF0000"/>
        </w:rPr>
      </w:pPr>
      <w:r w:rsidRPr="006E14DC">
        <w:rPr>
          <w:color w:val="FF0000"/>
        </w:rPr>
        <w:t>(</w:t>
      </w:r>
      <w:r w:rsidR="00C03136" w:rsidRPr="006E14DC">
        <w:rPr>
          <w:color w:val="FF0000"/>
        </w:rPr>
        <w:t>C</w:t>
      </w:r>
      <w:r w:rsidRPr="006E14DC">
        <w:rPr>
          <w:color w:val="FF0000"/>
        </w:rPr>
        <w:t>)</w:t>
      </w:r>
      <w:r w:rsidR="002B5796" w:rsidRPr="006E14DC">
        <w:rPr>
          <w:color w:val="FF0000"/>
        </w:rPr>
        <w:t xml:space="preserve"> EPS incorporates information about the riskiness of the future projects the firm is going to take</w:t>
      </w:r>
    </w:p>
    <w:p w:rsidR="009B6B60" w:rsidRDefault="009B6B60"/>
    <w:p w:rsidR="009B6B60" w:rsidRDefault="009B6B60">
      <w:r>
        <w:t>3. Which of the following</w:t>
      </w:r>
      <w:r w:rsidR="004E29A1">
        <w:t xml:space="preserve"> items</w:t>
      </w:r>
      <w:r>
        <w:t xml:space="preserve"> is least likely to incentivize a CEO to work in the best interests of the firm’s shareholders?</w:t>
      </w:r>
    </w:p>
    <w:p w:rsidR="009B6B60" w:rsidRPr="006E14DC" w:rsidRDefault="009B6B60">
      <w:pPr>
        <w:rPr>
          <w:color w:val="FF0000"/>
        </w:rPr>
      </w:pPr>
      <w:r w:rsidRPr="006E14DC">
        <w:rPr>
          <w:color w:val="FF0000"/>
        </w:rPr>
        <w:t>(A) Verbal compliment from shareholders</w:t>
      </w:r>
    </w:p>
    <w:p w:rsidR="009B6B60" w:rsidRDefault="009B6B60">
      <w:r>
        <w:t>(B) Bonus</w:t>
      </w:r>
    </w:p>
    <w:p w:rsidR="009B6B60" w:rsidRDefault="009B6B60">
      <w:r>
        <w:t>(C) Stock options</w:t>
      </w:r>
    </w:p>
    <w:p w:rsidR="009B6B60" w:rsidRDefault="009B6B60">
      <w:r>
        <w:t>(D) Higher salary</w:t>
      </w:r>
    </w:p>
    <w:p w:rsidR="009B6B60" w:rsidRDefault="009B6B60"/>
    <w:p w:rsidR="008405EB" w:rsidRDefault="008405EB">
      <w:r>
        <w:t>4. _________ is elected by shareholders of a firm and work as a group of advisors and watchdogs to the CEO by means of reviewing investment opportunities and monitoring the CEO</w:t>
      </w:r>
      <w:r w:rsidR="003453CA">
        <w:t>’s behavior</w:t>
      </w:r>
      <w:r>
        <w:t>.</w:t>
      </w:r>
    </w:p>
    <w:p w:rsidR="008405EB" w:rsidRDefault="008405EB">
      <w:r>
        <w:t>(A) Chief Financial Officer</w:t>
      </w:r>
    </w:p>
    <w:p w:rsidR="008405EB" w:rsidRPr="006E14DC" w:rsidRDefault="008405EB">
      <w:pPr>
        <w:rPr>
          <w:color w:val="FF0000"/>
        </w:rPr>
      </w:pPr>
      <w:r w:rsidRPr="006E14DC">
        <w:rPr>
          <w:color w:val="FF0000"/>
        </w:rPr>
        <w:t>(B) Board of directors</w:t>
      </w:r>
    </w:p>
    <w:p w:rsidR="008405EB" w:rsidRDefault="008405EB">
      <w:r>
        <w:t>(C) Financial manager</w:t>
      </w:r>
    </w:p>
    <w:p w:rsidR="008405EB" w:rsidRDefault="008405EB"/>
    <w:p w:rsidR="008405EB" w:rsidRDefault="008405EB"/>
    <w:p w:rsidR="004E29A1" w:rsidRDefault="004E29A1" w:rsidP="004E29A1">
      <w:r>
        <w:lastRenderedPageBreak/>
        <w:t xml:space="preserve"> 5. Company ABC has just purchased a small vehicle. Its price is $200,000 and the vehicle is expected to last for the next 7 years. For each year over the next 8 years, compute (a)</w:t>
      </w:r>
      <w:r w:rsidR="00E2648F">
        <w:t xml:space="preserve"> depreciation expense</w:t>
      </w:r>
      <w:r>
        <w:t xml:space="preserve"> </w:t>
      </w:r>
      <w:r w:rsidR="00E2648F">
        <w:t xml:space="preserve">for the third year </w:t>
      </w:r>
      <w:r>
        <w:t xml:space="preserve">(b) the net book value </w:t>
      </w:r>
      <w:r w:rsidR="00E2648F">
        <w:t xml:space="preserve">at the end of the third year </w:t>
      </w:r>
      <w:r>
        <w:t>if it decides to adopt the Modified Accelerated Cost Recovery System (MACRS).</w:t>
      </w:r>
    </w:p>
    <w:p w:rsidR="004E29A1" w:rsidRDefault="004E29A1" w:rsidP="004E29A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4E29A1" w:rsidTr="00C531F8">
        <w:tc>
          <w:tcPr>
            <w:tcW w:w="8630" w:type="dxa"/>
            <w:gridSpan w:val="4"/>
          </w:tcPr>
          <w:p w:rsidR="004E29A1" w:rsidRDefault="004E29A1" w:rsidP="00C531F8">
            <w:pPr>
              <w:jc w:val="center"/>
            </w:pPr>
            <w:r>
              <w:t>MACRS Schedule</w:t>
            </w:r>
          </w:p>
        </w:tc>
      </w:tr>
      <w:tr w:rsidR="004E29A1" w:rsidTr="00C531F8">
        <w:tc>
          <w:tcPr>
            <w:tcW w:w="2157" w:type="dxa"/>
          </w:tcPr>
          <w:p w:rsidR="004E29A1" w:rsidRDefault="004E29A1" w:rsidP="00C531F8">
            <w:r>
              <w:t>Year</w:t>
            </w:r>
          </w:p>
        </w:tc>
        <w:tc>
          <w:tcPr>
            <w:tcW w:w="2157" w:type="dxa"/>
          </w:tcPr>
          <w:p w:rsidR="004E29A1" w:rsidRDefault="004E29A1" w:rsidP="00C531F8">
            <w:r>
              <w:t>3-Year Class</w:t>
            </w:r>
          </w:p>
        </w:tc>
        <w:tc>
          <w:tcPr>
            <w:tcW w:w="2158" w:type="dxa"/>
          </w:tcPr>
          <w:p w:rsidR="004E29A1" w:rsidRDefault="004E29A1" w:rsidP="00C531F8">
            <w:r>
              <w:t>5-Year Class</w:t>
            </w:r>
          </w:p>
        </w:tc>
        <w:tc>
          <w:tcPr>
            <w:tcW w:w="2158" w:type="dxa"/>
            <w:tcBorders>
              <w:bottom w:val="single" w:sz="4" w:space="0" w:color="auto"/>
            </w:tcBorders>
          </w:tcPr>
          <w:p w:rsidR="004E29A1" w:rsidRDefault="004E29A1" w:rsidP="00C531F8">
            <w:r>
              <w:t>7-Year Class</w:t>
            </w:r>
          </w:p>
        </w:tc>
      </w:tr>
      <w:tr w:rsidR="004E29A1" w:rsidTr="00C531F8">
        <w:tc>
          <w:tcPr>
            <w:tcW w:w="2157" w:type="dxa"/>
            <w:tcBorders>
              <w:top w:val="single" w:sz="4" w:space="0" w:color="auto"/>
            </w:tcBorders>
          </w:tcPr>
          <w:p w:rsidR="004E29A1" w:rsidRDefault="004E29A1" w:rsidP="00C531F8">
            <w:r>
              <w:t>1</w:t>
            </w:r>
          </w:p>
        </w:tc>
        <w:tc>
          <w:tcPr>
            <w:tcW w:w="2157" w:type="dxa"/>
            <w:tcBorders>
              <w:top w:val="single" w:sz="4" w:space="0" w:color="auto"/>
            </w:tcBorders>
          </w:tcPr>
          <w:p w:rsidR="004E29A1" w:rsidRDefault="004E29A1" w:rsidP="00C531F8">
            <w:r>
              <w:t>33.33%</w:t>
            </w:r>
          </w:p>
        </w:tc>
        <w:tc>
          <w:tcPr>
            <w:tcW w:w="2158" w:type="dxa"/>
            <w:tcBorders>
              <w:top w:val="single" w:sz="4" w:space="0" w:color="auto"/>
            </w:tcBorders>
          </w:tcPr>
          <w:p w:rsidR="004E29A1" w:rsidRDefault="004E29A1" w:rsidP="00C531F8">
            <w:r>
              <w:t>20.00%</w:t>
            </w:r>
          </w:p>
        </w:tc>
        <w:tc>
          <w:tcPr>
            <w:tcW w:w="2158" w:type="dxa"/>
            <w:tcBorders>
              <w:top w:val="single" w:sz="4" w:space="0" w:color="auto"/>
            </w:tcBorders>
          </w:tcPr>
          <w:p w:rsidR="004E29A1" w:rsidRDefault="004E29A1" w:rsidP="00C531F8">
            <w:r>
              <w:t>14.29%</w:t>
            </w:r>
          </w:p>
        </w:tc>
      </w:tr>
      <w:tr w:rsidR="004E29A1" w:rsidTr="00C531F8">
        <w:tc>
          <w:tcPr>
            <w:tcW w:w="2157" w:type="dxa"/>
          </w:tcPr>
          <w:p w:rsidR="004E29A1" w:rsidRDefault="004E29A1" w:rsidP="00C531F8">
            <w:r>
              <w:t>2</w:t>
            </w:r>
          </w:p>
        </w:tc>
        <w:tc>
          <w:tcPr>
            <w:tcW w:w="2157" w:type="dxa"/>
          </w:tcPr>
          <w:p w:rsidR="004E29A1" w:rsidRDefault="004E29A1" w:rsidP="00C531F8">
            <w:r>
              <w:t>44.45%</w:t>
            </w:r>
          </w:p>
        </w:tc>
        <w:tc>
          <w:tcPr>
            <w:tcW w:w="2158" w:type="dxa"/>
          </w:tcPr>
          <w:p w:rsidR="004E29A1" w:rsidRDefault="004E29A1" w:rsidP="00C531F8">
            <w:r>
              <w:t>32.00%</w:t>
            </w:r>
          </w:p>
        </w:tc>
        <w:tc>
          <w:tcPr>
            <w:tcW w:w="2158" w:type="dxa"/>
          </w:tcPr>
          <w:p w:rsidR="004E29A1" w:rsidRDefault="004E29A1" w:rsidP="00C531F8">
            <w:r>
              <w:t>24.49%</w:t>
            </w:r>
          </w:p>
        </w:tc>
      </w:tr>
      <w:tr w:rsidR="004E29A1" w:rsidTr="00C531F8">
        <w:tc>
          <w:tcPr>
            <w:tcW w:w="2157" w:type="dxa"/>
          </w:tcPr>
          <w:p w:rsidR="004E29A1" w:rsidRDefault="004E29A1" w:rsidP="00C531F8">
            <w:r>
              <w:t>3</w:t>
            </w:r>
          </w:p>
        </w:tc>
        <w:tc>
          <w:tcPr>
            <w:tcW w:w="2157" w:type="dxa"/>
          </w:tcPr>
          <w:p w:rsidR="004E29A1" w:rsidRDefault="004E29A1" w:rsidP="00C531F8">
            <w:r>
              <w:t>14.81%</w:t>
            </w:r>
          </w:p>
        </w:tc>
        <w:tc>
          <w:tcPr>
            <w:tcW w:w="2158" w:type="dxa"/>
          </w:tcPr>
          <w:p w:rsidR="004E29A1" w:rsidRDefault="004E29A1" w:rsidP="00C531F8">
            <w:r>
              <w:t>19.20%</w:t>
            </w:r>
          </w:p>
        </w:tc>
        <w:tc>
          <w:tcPr>
            <w:tcW w:w="2158" w:type="dxa"/>
          </w:tcPr>
          <w:p w:rsidR="004E29A1" w:rsidRDefault="004E29A1" w:rsidP="00C531F8">
            <w:r>
              <w:t>17.49%</w:t>
            </w:r>
          </w:p>
        </w:tc>
      </w:tr>
      <w:tr w:rsidR="004E29A1" w:rsidTr="00C531F8">
        <w:tc>
          <w:tcPr>
            <w:tcW w:w="2157" w:type="dxa"/>
          </w:tcPr>
          <w:p w:rsidR="004E29A1" w:rsidRDefault="004E29A1" w:rsidP="00C531F8">
            <w:r>
              <w:t>4</w:t>
            </w:r>
          </w:p>
        </w:tc>
        <w:tc>
          <w:tcPr>
            <w:tcW w:w="2157" w:type="dxa"/>
          </w:tcPr>
          <w:p w:rsidR="004E29A1" w:rsidRDefault="004E29A1" w:rsidP="00C531F8">
            <w:r>
              <w:t>7.41%</w:t>
            </w:r>
          </w:p>
        </w:tc>
        <w:tc>
          <w:tcPr>
            <w:tcW w:w="2158" w:type="dxa"/>
          </w:tcPr>
          <w:p w:rsidR="004E29A1" w:rsidRDefault="004E29A1" w:rsidP="00C531F8">
            <w:r>
              <w:t>11.52%</w:t>
            </w:r>
          </w:p>
        </w:tc>
        <w:tc>
          <w:tcPr>
            <w:tcW w:w="2158" w:type="dxa"/>
          </w:tcPr>
          <w:p w:rsidR="004E29A1" w:rsidRDefault="004E29A1" w:rsidP="00C531F8">
            <w:r>
              <w:t>12.49%</w:t>
            </w:r>
          </w:p>
        </w:tc>
      </w:tr>
      <w:tr w:rsidR="004E29A1" w:rsidTr="00C531F8">
        <w:tc>
          <w:tcPr>
            <w:tcW w:w="2157" w:type="dxa"/>
          </w:tcPr>
          <w:p w:rsidR="004E29A1" w:rsidRDefault="004E29A1" w:rsidP="00C531F8">
            <w:r>
              <w:t>5</w:t>
            </w:r>
          </w:p>
        </w:tc>
        <w:tc>
          <w:tcPr>
            <w:tcW w:w="2157" w:type="dxa"/>
          </w:tcPr>
          <w:p w:rsidR="004E29A1" w:rsidRDefault="004E29A1" w:rsidP="00C531F8"/>
        </w:tc>
        <w:tc>
          <w:tcPr>
            <w:tcW w:w="2158" w:type="dxa"/>
          </w:tcPr>
          <w:p w:rsidR="004E29A1" w:rsidRDefault="004E29A1" w:rsidP="00C531F8">
            <w:r>
              <w:t>11.52%</w:t>
            </w:r>
          </w:p>
        </w:tc>
        <w:tc>
          <w:tcPr>
            <w:tcW w:w="2158" w:type="dxa"/>
          </w:tcPr>
          <w:p w:rsidR="004E29A1" w:rsidRDefault="004E29A1" w:rsidP="00C531F8">
            <w:r>
              <w:t>8.93%</w:t>
            </w:r>
          </w:p>
        </w:tc>
      </w:tr>
      <w:tr w:rsidR="004E29A1" w:rsidTr="00C531F8">
        <w:tc>
          <w:tcPr>
            <w:tcW w:w="2157" w:type="dxa"/>
          </w:tcPr>
          <w:p w:rsidR="004E29A1" w:rsidRDefault="004E29A1" w:rsidP="00C531F8">
            <w:r>
              <w:t>6</w:t>
            </w:r>
          </w:p>
        </w:tc>
        <w:tc>
          <w:tcPr>
            <w:tcW w:w="2157" w:type="dxa"/>
          </w:tcPr>
          <w:p w:rsidR="004E29A1" w:rsidRDefault="004E29A1" w:rsidP="00C531F8"/>
        </w:tc>
        <w:tc>
          <w:tcPr>
            <w:tcW w:w="2158" w:type="dxa"/>
          </w:tcPr>
          <w:p w:rsidR="004E29A1" w:rsidRDefault="004E29A1" w:rsidP="00C531F8">
            <w:r>
              <w:t>5.76%</w:t>
            </w:r>
          </w:p>
        </w:tc>
        <w:tc>
          <w:tcPr>
            <w:tcW w:w="2158" w:type="dxa"/>
          </w:tcPr>
          <w:p w:rsidR="004E29A1" w:rsidRDefault="004E29A1" w:rsidP="00C531F8">
            <w:r>
              <w:t>8.92%</w:t>
            </w:r>
          </w:p>
        </w:tc>
      </w:tr>
      <w:tr w:rsidR="004E29A1" w:rsidTr="00C531F8">
        <w:tc>
          <w:tcPr>
            <w:tcW w:w="2157" w:type="dxa"/>
          </w:tcPr>
          <w:p w:rsidR="004E29A1" w:rsidRDefault="004E29A1" w:rsidP="00C531F8">
            <w:r>
              <w:t>7</w:t>
            </w:r>
          </w:p>
        </w:tc>
        <w:tc>
          <w:tcPr>
            <w:tcW w:w="2157" w:type="dxa"/>
          </w:tcPr>
          <w:p w:rsidR="004E29A1" w:rsidRDefault="004E29A1" w:rsidP="00C531F8"/>
        </w:tc>
        <w:tc>
          <w:tcPr>
            <w:tcW w:w="2158" w:type="dxa"/>
          </w:tcPr>
          <w:p w:rsidR="004E29A1" w:rsidRDefault="004E29A1" w:rsidP="00C531F8"/>
        </w:tc>
        <w:tc>
          <w:tcPr>
            <w:tcW w:w="2158" w:type="dxa"/>
          </w:tcPr>
          <w:p w:rsidR="004E29A1" w:rsidRDefault="004E29A1" w:rsidP="00C531F8">
            <w:r>
              <w:t>8.93%</w:t>
            </w:r>
          </w:p>
        </w:tc>
      </w:tr>
      <w:tr w:rsidR="004E29A1" w:rsidTr="00C531F8">
        <w:tc>
          <w:tcPr>
            <w:tcW w:w="2157" w:type="dxa"/>
          </w:tcPr>
          <w:p w:rsidR="004E29A1" w:rsidRDefault="004E29A1" w:rsidP="00C531F8">
            <w:r>
              <w:t>8</w:t>
            </w:r>
          </w:p>
        </w:tc>
        <w:tc>
          <w:tcPr>
            <w:tcW w:w="2157" w:type="dxa"/>
          </w:tcPr>
          <w:p w:rsidR="004E29A1" w:rsidRDefault="004E29A1" w:rsidP="00C531F8"/>
        </w:tc>
        <w:tc>
          <w:tcPr>
            <w:tcW w:w="2158" w:type="dxa"/>
          </w:tcPr>
          <w:p w:rsidR="004E29A1" w:rsidRDefault="004E29A1" w:rsidP="00C531F8"/>
        </w:tc>
        <w:tc>
          <w:tcPr>
            <w:tcW w:w="2158" w:type="dxa"/>
          </w:tcPr>
          <w:p w:rsidR="004E29A1" w:rsidRDefault="004E29A1" w:rsidP="00C531F8">
            <w:r>
              <w:t>4.46%</w:t>
            </w:r>
          </w:p>
        </w:tc>
      </w:tr>
    </w:tbl>
    <w:p w:rsidR="004E29A1" w:rsidRDefault="004E29A1" w:rsidP="004E29A1"/>
    <w:p w:rsidR="00E2648F" w:rsidRPr="00E2648F" w:rsidRDefault="00E2648F" w:rsidP="00E2648F">
      <w:pPr>
        <w:rPr>
          <w:rFonts w:eastAsia="맑은 고딕" w:hint="eastAsia"/>
          <w:lang w:eastAsia="ko-KR"/>
        </w:rPr>
      </w:pPr>
      <w:r w:rsidRPr="00E2648F">
        <w:rPr>
          <w:rFonts w:eastAsia="맑은 고딕" w:hint="eastAsia"/>
          <w:color w:val="FF0000"/>
          <w:lang w:eastAsia="ko-KR"/>
        </w:rPr>
        <w:t>(</w:t>
      </w:r>
      <w:r w:rsidRPr="00E2648F">
        <w:rPr>
          <w:rFonts w:eastAsia="맑은 고딕"/>
          <w:color w:val="FF0000"/>
          <w:lang w:eastAsia="ko-KR"/>
        </w:rPr>
        <w:t xml:space="preserve">a)  </w:t>
      </w:r>
      <w:r w:rsidRPr="00E2648F">
        <w:rPr>
          <w:rFonts w:ascii="Calibri" w:eastAsia="Times New Roman" w:hAnsi="Calibri" w:cs="Calibri"/>
          <w:color w:val="FF0000"/>
        </w:rPr>
        <w:t>34980</w:t>
      </w:r>
      <w:proofErr w:type="gramStart"/>
      <w:r w:rsidRPr="00E2648F">
        <w:rPr>
          <w:rFonts w:ascii="Calibri" w:eastAsia="Times New Roman" w:hAnsi="Calibri" w:cs="Calibri"/>
          <w:color w:val="FF0000"/>
        </w:rPr>
        <w:t xml:space="preserve">   (</w:t>
      </w:r>
      <w:proofErr w:type="gramEnd"/>
      <w:r w:rsidRPr="00E2648F">
        <w:rPr>
          <w:rFonts w:ascii="Calibri" w:eastAsia="Times New Roman" w:hAnsi="Calibri" w:cs="Calibri"/>
          <w:color w:val="FF0000"/>
        </w:rPr>
        <w:t xml:space="preserve">b) </w:t>
      </w:r>
      <w:r w:rsidRPr="005C7D71">
        <w:rPr>
          <w:rFonts w:ascii="Calibri" w:eastAsia="Times New Roman" w:hAnsi="Calibri" w:cs="Calibri"/>
          <w:color w:val="FF0000"/>
        </w:rPr>
        <w:t>87460</w:t>
      </w:r>
    </w:p>
    <w:p w:rsidR="00E2648F" w:rsidRDefault="00E2648F" w:rsidP="00E2648F"/>
    <w:tbl>
      <w:tblPr>
        <w:tblW w:w="6850" w:type="dxa"/>
        <w:tblLook w:val="04A0" w:firstRow="1" w:lastRow="0" w:firstColumn="1" w:lastColumn="0" w:noHBand="0" w:noVBand="1"/>
      </w:tblPr>
      <w:tblGrid>
        <w:gridCol w:w="1548"/>
        <w:gridCol w:w="1548"/>
        <w:gridCol w:w="2206"/>
        <w:gridCol w:w="1548"/>
      </w:tblGrid>
      <w:tr w:rsidR="00E2648F" w:rsidRPr="005C7D71" w:rsidTr="00F1115A">
        <w:trPr>
          <w:trHeight w:val="331"/>
        </w:trPr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Year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Rate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648F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Depreciation</w:t>
            </w:r>
          </w:p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Expense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Net Book Value</w:t>
            </w:r>
          </w:p>
        </w:tc>
      </w:tr>
      <w:tr w:rsidR="00E2648F" w:rsidRPr="005C7D71" w:rsidTr="00F1115A">
        <w:trPr>
          <w:trHeight w:val="314"/>
        </w:trPr>
        <w:tc>
          <w:tcPr>
            <w:tcW w:w="15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0.1429</w:t>
            </w: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28580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171420</w:t>
            </w:r>
          </w:p>
        </w:tc>
      </w:tr>
      <w:tr w:rsidR="00E2648F" w:rsidRPr="005C7D71" w:rsidTr="00F1115A">
        <w:trPr>
          <w:trHeight w:val="314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0.2449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48980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122440</w:t>
            </w:r>
          </w:p>
        </w:tc>
      </w:tr>
      <w:tr w:rsidR="00E2648F" w:rsidRPr="005C7D71" w:rsidTr="00F1115A">
        <w:trPr>
          <w:trHeight w:val="314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0.1749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34980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87460</w:t>
            </w:r>
          </w:p>
        </w:tc>
      </w:tr>
      <w:tr w:rsidR="00E2648F" w:rsidRPr="005C7D71" w:rsidTr="00F1115A">
        <w:trPr>
          <w:trHeight w:val="314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4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0.1249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24980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62480</w:t>
            </w:r>
          </w:p>
        </w:tc>
      </w:tr>
      <w:tr w:rsidR="00E2648F" w:rsidRPr="005C7D71" w:rsidTr="00F1115A">
        <w:trPr>
          <w:trHeight w:val="314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5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0.0893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17860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44620</w:t>
            </w:r>
          </w:p>
        </w:tc>
      </w:tr>
      <w:tr w:rsidR="00E2648F" w:rsidRPr="005C7D71" w:rsidTr="00F1115A">
        <w:trPr>
          <w:trHeight w:val="314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6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0.0892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17840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26780</w:t>
            </w:r>
          </w:p>
        </w:tc>
      </w:tr>
      <w:tr w:rsidR="00E2648F" w:rsidRPr="005C7D71" w:rsidTr="00F1115A">
        <w:trPr>
          <w:trHeight w:val="314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7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0.0893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17860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8920</w:t>
            </w:r>
          </w:p>
        </w:tc>
      </w:tr>
      <w:tr w:rsidR="00E2648F" w:rsidRPr="005C7D71" w:rsidTr="00F1115A">
        <w:trPr>
          <w:trHeight w:val="314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8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0.0446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8920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48F" w:rsidRPr="005C7D71" w:rsidRDefault="00E2648F" w:rsidP="00F11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C7D71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</w:tr>
    </w:tbl>
    <w:p w:rsidR="004E29A1" w:rsidRDefault="004E29A1" w:rsidP="004E29A1"/>
    <w:p w:rsidR="004E29A1" w:rsidRDefault="004E29A1" w:rsidP="004E29A1"/>
    <w:p w:rsidR="004E29A1" w:rsidRDefault="004E29A1" w:rsidP="004E29A1">
      <w:r>
        <w:t>6. Suppose President Biden will change the U.S. corporate tax rates, and the schedule is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768"/>
        <w:gridCol w:w="2877"/>
      </w:tblGrid>
      <w:tr w:rsidR="004E29A1" w:rsidTr="00C531F8">
        <w:tc>
          <w:tcPr>
            <w:tcW w:w="985" w:type="dxa"/>
          </w:tcPr>
          <w:p w:rsidR="004E29A1" w:rsidRDefault="004E29A1" w:rsidP="00C531F8">
            <w:r>
              <w:t>Level</w:t>
            </w:r>
          </w:p>
        </w:tc>
        <w:tc>
          <w:tcPr>
            <w:tcW w:w="4768" w:type="dxa"/>
          </w:tcPr>
          <w:p w:rsidR="004E29A1" w:rsidRDefault="004E29A1" w:rsidP="00C531F8">
            <w:r>
              <w:t>Annual Taxable Income ($)</w:t>
            </w:r>
          </w:p>
        </w:tc>
        <w:tc>
          <w:tcPr>
            <w:tcW w:w="2877" w:type="dxa"/>
          </w:tcPr>
          <w:p w:rsidR="004E29A1" w:rsidRDefault="004E29A1" w:rsidP="00C531F8">
            <w:r>
              <w:t>Tax Rate</w:t>
            </w:r>
          </w:p>
        </w:tc>
      </w:tr>
      <w:tr w:rsidR="004E29A1" w:rsidTr="00C531F8">
        <w:tc>
          <w:tcPr>
            <w:tcW w:w="985" w:type="dxa"/>
          </w:tcPr>
          <w:p w:rsidR="004E29A1" w:rsidRDefault="004E29A1" w:rsidP="00C531F8">
            <w:r>
              <w:t>1</w:t>
            </w:r>
          </w:p>
        </w:tc>
        <w:tc>
          <w:tcPr>
            <w:tcW w:w="4768" w:type="dxa"/>
          </w:tcPr>
          <w:p w:rsidR="004E29A1" w:rsidRDefault="004E29A1" w:rsidP="00C531F8">
            <w:r>
              <w:t xml:space="preserve">Between 0 and 100,000 </w:t>
            </w:r>
          </w:p>
        </w:tc>
        <w:tc>
          <w:tcPr>
            <w:tcW w:w="2877" w:type="dxa"/>
          </w:tcPr>
          <w:p w:rsidR="004E29A1" w:rsidRDefault="004E29A1" w:rsidP="00C531F8">
            <w:r>
              <w:t>5%</w:t>
            </w:r>
          </w:p>
        </w:tc>
      </w:tr>
      <w:tr w:rsidR="004E29A1" w:rsidTr="00C531F8">
        <w:tc>
          <w:tcPr>
            <w:tcW w:w="985" w:type="dxa"/>
          </w:tcPr>
          <w:p w:rsidR="004E29A1" w:rsidRDefault="004E29A1" w:rsidP="00C531F8">
            <w:r>
              <w:t>2</w:t>
            </w:r>
          </w:p>
        </w:tc>
        <w:tc>
          <w:tcPr>
            <w:tcW w:w="4768" w:type="dxa"/>
          </w:tcPr>
          <w:p w:rsidR="004E29A1" w:rsidRDefault="004E29A1" w:rsidP="00C531F8">
            <w:r>
              <w:t>Between 100,000 and 200,000</w:t>
            </w:r>
          </w:p>
        </w:tc>
        <w:tc>
          <w:tcPr>
            <w:tcW w:w="2877" w:type="dxa"/>
          </w:tcPr>
          <w:p w:rsidR="004E29A1" w:rsidRDefault="004E29A1" w:rsidP="00C531F8">
            <w:r>
              <w:t>10%</w:t>
            </w:r>
          </w:p>
        </w:tc>
      </w:tr>
      <w:tr w:rsidR="004E29A1" w:rsidTr="00C531F8">
        <w:tc>
          <w:tcPr>
            <w:tcW w:w="985" w:type="dxa"/>
          </w:tcPr>
          <w:p w:rsidR="004E29A1" w:rsidRDefault="004E29A1" w:rsidP="00C531F8">
            <w:r>
              <w:t>3</w:t>
            </w:r>
          </w:p>
        </w:tc>
        <w:tc>
          <w:tcPr>
            <w:tcW w:w="4768" w:type="dxa"/>
          </w:tcPr>
          <w:p w:rsidR="004E29A1" w:rsidRDefault="004E29A1" w:rsidP="00C531F8">
            <w:r>
              <w:t>Between 200,000 and 500,000</w:t>
            </w:r>
          </w:p>
        </w:tc>
        <w:tc>
          <w:tcPr>
            <w:tcW w:w="2877" w:type="dxa"/>
          </w:tcPr>
          <w:p w:rsidR="004E29A1" w:rsidRDefault="004E29A1" w:rsidP="00C531F8">
            <w:r>
              <w:t>15%</w:t>
            </w:r>
          </w:p>
        </w:tc>
      </w:tr>
      <w:tr w:rsidR="004E29A1" w:rsidTr="00C531F8">
        <w:tc>
          <w:tcPr>
            <w:tcW w:w="985" w:type="dxa"/>
          </w:tcPr>
          <w:p w:rsidR="004E29A1" w:rsidRDefault="004E29A1" w:rsidP="00C531F8">
            <w:r>
              <w:t>4</w:t>
            </w:r>
          </w:p>
        </w:tc>
        <w:tc>
          <w:tcPr>
            <w:tcW w:w="4768" w:type="dxa"/>
          </w:tcPr>
          <w:p w:rsidR="004E29A1" w:rsidRDefault="004E29A1" w:rsidP="00C531F8">
            <w:r>
              <w:t>Between 500,000 and 800,000</w:t>
            </w:r>
          </w:p>
        </w:tc>
        <w:tc>
          <w:tcPr>
            <w:tcW w:w="2877" w:type="dxa"/>
          </w:tcPr>
          <w:p w:rsidR="004E29A1" w:rsidRDefault="004E29A1" w:rsidP="00C531F8">
            <w:r>
              <w:t>20%</w:t>
            </w:r>
          </w:p>
        </w:tc>
      </w:tr>
      <w:tr w:rsidR="004E29A1" w:rsidTr="00C531F8">
        <w:tc>
          <w:tcPr>
            <w:tcW w:w="985" w:type="dxa"/>
          </w:tcPr>
          <w:p w:rsidR="004E29A1" w:rsidRDefault="004E29A1" w:rsidP="00C531F8">
            <w:r>
              <w:t>5</w:t>
            </w:r>
          </w:p>
        </w:tc>
        <w:tc>
          <w:tcPr>
            <w:tcW w:w="4768" w:type="dxa"/>
          </w:tcPr>
          <w:p w:rsidR="004E29A1" w:rsidRDefault="004E29A1" w:rsidP="00C531F8">
            <w:r>
              <w:t>Between 800,000 and 1,000,000</w:t>
            </w:r>
          </w:p>
        </w:tc>
        <w:tc>
          <w:tcPr>
            <w:tcW w:w="2877" w:type="dxa"/>
          </w:tcPr>
          <w:p w:rsidR="004E29A1" w:rsidRDefault="004E29A1" w:rsidP="00C531F8">
            <w:r>
              <w:t>25%</w:t>
            </w:r>
          </w:p>
        </w:tc>
      </w:tr>
      <w:tr w:rsidR="004E29A1" w:rsidTr="00C531F8">
        <w:tc>
          <w:tcPr>
            <w:tcW w:w="985" w:type="dxa"/>
          </w:tcPr>
          <w:p w:rsidR="004E29A1" w:rsidRDefault="004E29A1" w:rsidP="00C531F8">
            <w:r>
              <w:t>6</w:t>
            </w:r>
          </w:p>
        </w:tc>
        <w:tc>
          <w:tcPr>
            <w:tcW w:w="4768" w:type="dxa"/>
          </w:tcPr>
          <w:p w:rsidR="004E29A1" w:rsidRDefault="004E29A1" w:rsidP="00C531F8">
            <w:r>
              <w:t xml:space="preserve">Above 1,000,000 </w:t>
            </w:r>
          </w:p>
        </w:tc>
        <w:tc>
          <w:tcPr>
            <w:tcW w:w="2877" w:type="dxa"/>
          </w:tcPr>
          <w:p w:rsidR="004E29A1" w:rsidRDefault="004E29A1" w:rsidP="00C531F8">
            <w:r>
              <w:t>30%</w:t>
            </w:r>
          </w:p>
        </w:tc>
      </w:tr>
    </w:tbl>
    <w:p w:rsidR="004E29A1" w:rsidRDefault="004E29A1" w:rsidP="004E29A1"/>
    <w:p w:rsidR="004E29A1" w:rsidRDefault="004E29A1" w:rsidP="004E29A1"/>
    <w:p w:rsidR="004E29A1" w:rsidRDefault="004E29A1" w:rsidP="004E29A1">
      <w:r>
        <w:t>If the pre-tax income of a corporation is $1,500,000,</w:t>
      </w:r>
    </w:p>
    <w:p w:rsidR="00E2648F" w:rsidRDefault="00E2648F" w:rsidP="00E2648F">
      <w:r>
        <w:t xml:space="preserve">(a) What is the amount of income tax the corporation needs to pay?  </w:t>
      </w:r>
    </w:p>
    <w:p w:rsidR="00E2648F" w:rsidRPr="003A7B30" w:rsidRDefault="00E2648F" w:rsidP="00E2648F">
      <w:pPr>
        <w:rPr>
          <w:color w:val="FF0000"/>
        </w:rPr>
      </w:pPr>
      <w:r w:rsidRPr="003A7B30">
        <w:rPr>
          <w:color w:val="FF0000"/>
        </w:rPr>
        <w:t>5%*(100,000-0) + 10%*(200,000-100,000) + 15%*(500,000-</w:t>
      </w:r>
      <w:proofErr w:type="gramStart"/>
      <w:r w:rsidRPr="003A7B30">
        <w:rPr>
          <w:color w:val="FF0000"/>
        </w:rPr>
        <w:t>200,000)+</w:t>
      </w:r>
      <w:proofErr w:type="gramEnd"/>
      <w:r w:rsidRPr="003A7B30">
        <w:rPr>
          <w:color w:val="FF0000"/>
        </w:rPr>
        <w:t xml:space="preserve">20%*(800,000-500,000) + 25%*(1,000,000-800,000)+30%*(1,500,000-1,000,000) =  </w:t>
      </w:r>
      <w:r>
        <w:rPr>
          <w:color w:val="FF0000"/>
        </w:rPr>
        <w:t>$</w:t>
      </w:r>
      <w:r w:rsidRPr="003A7B30">
        <w:rPr>
          <w:color w:val="FF0000"/>
        </w:rPr>
        <w:t>320,000</w:t>
      </w:r>
    </w:p>
    <w:p w:rsidR="00E2648F" w:rsidRPr="003A7B30" w:rsidRDefault="00E2648F" w:rsidP="00E2648F">
      <w:pPr>
        <w:rPr>
          <w:color w:val="FF0000"/>
        </w:rPr>
      </w:pPr>
      <w:r>
        <w:t xml:space="preserve">(b) What is the average tax rate? </w:t>
      </w:r>
      <w:r w:rsidRPr="003A7B30">
        <w:rPr>
          <w:color w:val="FF0000"/>
        </w:rPr>
        <w:t>320,000/1,500,000 = 21. 3%</w:t>
      </w:r>
    </w:p>
    <w:p w:rsidR="00E2648F" w:rsidRDefault="00E2648F" w:rsidP="00E2648F">
      <w:r>
        <w:t>(c) What is the marginal tax rate?</w:t>
      </w:r>
      <w:r w:rsidRPr="003A7B30">
        <w:rPr>
          <w:color w:val="FF0000"/>
        </w:rPr>
        <w:t xml:space="preserve"> 30%</w:t>
      </w:r>
    </w:p>
    <w:p w:rsidR="00747F2A" w:rsidRDefault="00747F2A"/>
    <w:sectPr w:rsidR="00747F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60"/>
    <w:rsid w:val="002B5796"/>
    <w:rsid w:val="003453CA"/>
    <w:rsid w:val="004E29A1"/>
    <w:rsid w:val="0067293D"/>
    <w:rsid w:val="006E14DC"/>
    <w:rsid w:val="00747F2A"/>
    <w:rsid w:val="0076658B"/>
    <w:rsid w:val="008405EB"/>
    <w:rsid w:val="008F1A53"/>
    <w:rsid w:val="009B6B60"/>
    <w:rsid w:val="00C03136"/>
    <w:rsid w:val="00E2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8120"/>
  <w15:chartTrackingRefBased/>
  <w15:docId w15:val="{1691A4EF-4A3C-4090-ADF0-D54A86E8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5EB"/>
    <w:pPr>
      <w:ind w:left="720"/>
      <w:contextualSpacing/>
    </w:pPr>
  </w:style>
  <w:style w:type="table" w:styleId="TableGrid">
    <w:name w:val="Table Grid"/>
    <w:basedOn w:val="TableNormal"/>
    <w:uiPriority w:val="39"/>
    <w:rsid w:val="004E2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 Shenzhen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Kwan Lee (SME)</dc:creator>
  <cp:keywords/>
  <dc:description/>
  <cp:lastModifiedBy>cuhksz</cp:lastModifiedBy>
  <cp:revision>4</cp:revision>
  <dcterms:created xsi:type="dcterms:W3CDTF">2024-01-16T11:54:00Z</dcterms:created>
  <dcterms:modified xsi:type="dcterms:W3CDTF">2024-01-16T13:05:00Z</dcterms:modified>
</cp:coreProperties>
</file>