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FD6B9" w14:textId="5EAE62FD" w:rsidR="000438B1" w:rsidRPr="005C4DEB" w:rsidRDefault="000438B1" w:rsidP="00FF6771">
      <w:pPr>
        <w:jc w:val="center"/>
        <w:rPr>
          <w:rFonts w:asciiTheme="minorEastAsia" w:hAnsiTheme="minorEastAsia"/>
          <w:b/>
          <w:bCs/>
          <w:sz w:val="30"/>
          <w:szCs w:val="30"/>
        </w:rPr>
      </w:pPr>
      <w:r w:rsidRPr="005C4DEB">
        <w:rPr>
          <w:rFonts w:asciiTheme="minorEastAsia" w:hAnsiTheme="minorEastAsia" w:hint="eastAsia"/>
          <w:b/>
          <w:bCs/>
          <w:sz w:val="30"/>
          <w:szCs w:val="30"/>
        </w:rPr>
        <w:t>1995.HK永升服务</w:t>
      </w:r>
    </w:p>
    <w:p w14:paraId="6F9BBD5B" w14:textId="77777777" w:rsidR="00FF6771" w:rsidRPr="00094CA1" w:rsidRDefault="00354F63" w:rsidP="00094CA1">
      <w:pPr>
        <w:pStyle w:val="af"/>
      </w:pPr>
      <w:r w:rsidRPr="00094CA1">
        <w:t>永升</w:t>
      </w:r>
      <w:r w:rsidRPr="00094CA1">
        <w:rPr>
          <w:rFonts w:hint="eastAsia"/>
        </w:rPr>
        <w:t>服务集团</w:t>
      </w:r>
      <w:r w:rsidRPr="00094CA1">
        <w:t>有限公司</w:t>
      </w:r>
      <w:r w:rsidR="00FF6771" w:rsidRPr="00094CA1">
        <w:rPr>
          <w:rFonts w:hint="eastAsia"/>
        </w:rPr>
        <w:t>成立于2018年，</w:t>
      </w:r>
      <w:r w:rsidRPr="00094CA1">
        <w:t>是一家中国控股公司，与其子公司一起主要提供物业管理服务。该公司还提供社区增值服务，以及对非业主的增值服务</w:t>
      </w:r>
      <w:r w:rsidRPr="00094CA1">
        <w:rPr>
          <w:rFonts w:hint="eastAsia"/>
        </w:rPr>
        <w:t>（</w:t>
      </w:r>
      <w:r w:rsidRPr="00094CA1">
        <w:t>包括向物业开发商或其他物业管理服务商提供的前期规划与设计咨询服务，以及于交付前阶段向物业开发商提供的开荒清洁、安保、绿化及维修保养服务</w:t>
      </w:r>
      <w:r w:rsidRPr="00094CA1">
        <w:rPr>
          <w:rFonts w:hint="eastAsia"/>
        </w:rPr>
        <w:t>）</w:t>
      </w:r>
      <w:r w:rsidRPr="00094CA1">
        <w:t>。</w:t>
      </w:r>
      <w:r w:rsidRPr="00094CA1">
        <w:rPr>
          <w:rFonts w:hint="eastAsia"/>
        </w:rPr>
        <w:t>永升服务</w:t>
      </w:r>
      <w:r w:rsidRPr="00094CA1">
        <w:t>的母公司是旭辉控股集团有限公司（CIFI Holdings (Group) Co. Ltd.）。</w:t>
      </w:r>
    </w:p>
    <w:p w14:paraId="5BDA7085" w14:textId="6F1F8616" w:rsidR="00FF6771" w:rsidRPr="00094CA1" w:rsidRDefault="00FF6771" w:rsidP="00094CA1">
      <w:pPr>
        <w:pStyle w:val="af"/>
      </w:pPr>
      <w:r w:rsidRPr="00094CA1">
        <w:t>自集团成立以来，截至</w:t>
      </w:r>
      <w:r w:rsidR="0030359D" w:rsidRPr="00094CA1">
        <w:rPr>
          <w:rFonts w:hint="eastAsia"/>
        </w:rPr>
        <w:t>2023年12月31号</w:t>
      </w:r>
      <w:r w:rsidRPr="00094CA1">
        <w:t>，</w:t>
      </w:r>
      <w:r w:rsidR="006C2A7E" w:rsidRPr="00094CA1">
        <w:rPr>
          <w:rFonts w:hint="eastAsia"/>
        </w:rPr>
        <w:t>公司</w:t>
      </w:r>
      <w:r w:rsidRPr="00094CA1">
        <w:t>的地理分布已从上海扩展至中国 110 座城市，以区域深耕为目标，追求有效规模扩张。</w:t>
      </w:r>
    </w:p>
    <w:p w14:paraId="00AAFBFF" w14:textId="77777777" w:rsidR="00FF6771" w:rsidRPr="00094CA1" w:rsidRDefault="00FF6771" w:rsidP="00094CA1">
      <w:pPr>
        <w:pStyle w:val="af"/>
      </w:pPr>
    </w:p>
    <w:p w14:paraId="128F1FFB" w14:textId="3F0B3871" w:rsidR="00FF6771" w:rsidRPr="00094CA1" w:rsidRDefault="00FF6771" w:rsidP="00094CA1">
      <w:pPr>
        <w:pStyle w:val="af"/>
        <w:rPr>
          <w:b/>
          <w:bCs/>
          <w:szCs w:val="22"/>
        </w:rPr>
      </w:pPr>
      <w:r w:rsidRPr="00094CA1">
        <w:rPr>
          <w:rFonts w:hint="eastAsia"/>
          <w:b/>
          <w:bCs/>
          <w:szCs w:val="22"/>
        </w:rPr>
        <w:t>股权穿透图：</w:t>
      </w:r>
    </w:p>
    <w:p w14:paraId="57D954FF" w14:textId="683B7C62" w:rsidR="00354F63" w:rsidRPr="00094CA1" w:rsidRDefault="00FF6771" w:rsidP="00094CA1">
      <w:pPr>
        <w:pStyle w:val="af"/>
        <w:rPr>
          <w:noProof/>
        </w:rPr>
      </w:pPr>
      <w:r w:rsidRPr="00094CA1">
        <w:rPr>
          <w:rFonts w:hint="eastAsia"/>
          <w:noProof/>
        </w:rPr>
        <w:drawing>
          <wp:inline distT="0" distB="0" distL="0" distR="0" wp14:anchorId="4D1FBBA7" wp14:editId="753E7E6E">
            <wp:extent cx="5603846" cy="3998121"/>
            <wp:effectExtent l="0" t="0" r="0" b="2540"/>
            <wp:docPr id="19603889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8898" name="图片 1" descr="图示&#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3446" cy="4004970"/>
                    </a:xfrm>
                    <a:prstGeom prst="rect">
                      <a:avLst/>
                    </a:prstGeom>
                  </pic:spPr>
                </pic:pic>
              </a:graphicData>
            </a:graphic>
          </wp:inline>
        </w:drawing>
      </w:r>
    </w:p>
    <w:p w14:paraId="3B61370A" w14:textId="5988517A" w:rsidR="00FF6771" w:rsidRDefault="00FF6771" w:rsidP="00825E56">
      <w:pPr>
        <w:pStyle w:val="af"/>
        <w:numPr>
          <w:ilvl w:val="0"/>
          <w:numId w:val="8"/>
        </w:numPr>
        <w:rPr>
          <w:b/>
          <w:bCs/>
          <w:noProof/>
        </w:rPr>
      </w:pPr>
      <w:r w:rsidRPr="00094CA1">
        <w:rPr>
          <w:rFonts w:hint="eastAsia"/>
          <w:b/>
          <w:bCs/>
          <w:noProof/>
        </w:rPr>
        <w:t>主营业务</w:t>
      </w:r>
    </w:p>
    <w:p w14:paraId="61857FE5" w14:textId="77777777" w:rsidR="00825E56" w:rsidRPr="00094CA1" w:rsidRDefault="00825E56" w:rsidP="00825E56">
      <w:pPr>
        <w:pStyle w:val="af"/>
        <w:rPr>
          <w:b/>
          <w:bCs/>
          <w:noProof/>
        </w:rPr>
      </w:pPr>
    </w:p>
    <w:p w14:paraId="765659D4" w14:textId="6B3ADF4E" w:rsidR="00F907E6" w:rsidRDefault="00F907E6" w:rsidP="00094CA1">
      <w:pPr>
        <w:pStyle w:val="af"/>
      </w:pPr>
      <w:r w:rsidRPr="00094CA1">
        <w:t>(</w:t>
      </w:r>
      <w:proofErr w:type="spellStart"/>
      <w:r w:rsidRPr="00094CA1">
        <w:t>i</w:t>
      </w:r>
      <w:proofErr w:type="spellEnd"/>
      <w:r w:rsidRPr="00094CA1">
        <w:t>) 物业管理服务;</w:t>
      </w:r>
      <w:r w:rsidR="00935FE1" w:rsidRPr="00094CA1">
        <w:rPr>
          <w:rFonts w:hint="eastAsia"/>
        </w:rPr>
        <w:t xml:space="preserve"> </w:t>
      </w:r>
      <w:r w:rsidRPr="00094CA1">
        <w:t>(ii) 社区增值服务;</w:t>
      </w:r>
      <w:r w:rsidR="00935FE1" w:rsidRPr="00094CA1">
        <w:rPr>
          <w:rFonts w:hint="eastAsia"/>
        </w:rPr>
        <w:t xml:space="preserve"> </w:t>
      </w:r>
      <w:r w:rsidRPr="00094CA1">
        <w:t>(iii) 对非业主的增值服务</w:t>
      </w:r>
      <w:r w:rsidR="00935FE1" w:rsidRPr="00094CA1">
        <w:t xml:space="preserve">; </w:t>
      </w:r>
      <w:r w:rsidRPr="00094CA1">
        <w:t>(iv) 城市服务</w:t>
      </w:r>
    </w:p>
    <w:p w14:paraId="7E9C538A" w14:textId="77777777" w:rsidR="00E9401C" w:rsidRPr="00094CA1" w:rsidRDefault="00E9401C" w:rsidP="00094CA1">
      <w:pPr>
        <w:pStyle w:val="af"/>
      </w:pPr>
    </w:p>
    <w:p w14:paraId="21BC43A4" w14:textId="77777777" w:rsidR="007E3A32" w:rsidRDefault="00F907E6" w:rsidP="00094CA1">
      <w:pPr>
        <w:pStyle w:val="af"/>
        <w:numPr>
          <w:ilvl w:val="0"/>
          <w:numId w:val="7"/>
        </w:numPr>
      </w:pPr>
      <w:r w:rsidRPr="00094CA1">
        <w:t>物业管理服务:</w:t>
      </w:r>
      <w:r w:rsidR="00951554" w:rsidRPr="00094CA1">
        <w:rPr>
          <w:rFonts w:hint="eastAsia"/>
        </w:rPr>
        <w:t>公司</w:t>
      </w:r>
      <w:r w:rsidRPr="00094CA1">
        <w:t>为物业开发商、业主及住户提供各种不同的物业管理服务，其</w:t>
      </w:r>
      <w:r w:rsidRPr="002A01E2">
        <w:rPr>
          <w:b/>
          <w:bCs/>
        </w:rPr>
        <w:t>主要包括清洁、安保、园艺及维修及保养服务</w:t>
      </w:r>
      <w:r w:rsidRPr="00094CA1">
        <w:t>。</w:t>
      </w:r>
      <w:r w:rsidR="00951554" w:rsidRPr="00094CA1">
        <w:rPr>
          <w:rFonts w:hint="eastAsia"/>
        </w:rPr>
        <w:t>公司</w:t>
      </w:r>
      <w:r w:rsidRPr="00094CA1">
        <w:t>管理的物业组合包含住宅及非住宅物业。</w:t>
      </w:r>
      <w:r w:rsidR="00951554" w:rsidRPr="00094CA1">
        <w:rPr>
          <w:rFonts w:hint="eastAsia"/>
        </w:rPr>
        <w:t>集团</w:t>
      </w:r>
      <w:r w:rsidRPr="00094CA1">
        <w:t>的非住宅物业包括办公大楼、 商场、学校、医院、景区、政府楼宇、高速公路服务站、轨道交通及轮渡码头等。</w:t>
      </w:r>
    </w:p>
    <w:p w14:paraId="2B05CB6B" w14:textId="084D8A38" w:rsidR="009931D7" w:rsidRDefault="00F907E6" w:rsidP="007E3A32">
      <w:pPr>
        <w:pStyle w:val="af"/>
        <w:ind w:left="360"/>
      </w:pPr>
      <w:r w:rsidRPr="00094CA1">
        <w:t xml:space="preserve"> </w:t>
      </w:r>
    </w:p>
    <w:p w14:paraId="02DD8BEC" w14:textId="2B85FB26" w:rsidR="007E3A32" w:rsidRDefault="00F907E6" w:rsidP="00094CA1">
      <w:pPr>
        <w:pStyle w:val="af"/>
        <w:numPr>
          <w:ilvl w:val="0"/>
          <w:numId w:val="7"/>
        </w:numPr>
      </w:pPr>
      <w:r w:rsidRPr="00094CA1">
        <w:t>社区增值服务</w:t>
      </w:r>
      <w:r w:rsidR="00951554" w:rsidRPr="00094CA1">
        <w:rPr>
          <w:rFonts w:hint="eastAsia"/>
        </w:rPr>
        <w:t>：集团</w:t>
      </w:r>
      <w:r w:rsidRPr="00094CA1">
        <w:rPr>
          <w:rFonts w:hint="eastAsia"/>
        </w:rPr>
        <w:t>为</w:t>
      </w:r>
      <w:r w:rsidRPr="00094CA1">
        <w:t>业主及住户提供的社区增值服务旨在提升其生活体验，并实现彼等资产的保值和增值该等服务主要包括 (</w:t>
      </w:r>
      <w:proofErr w:type="spellStart"/>
      <w:r w:rsidRPr="00094CA1">
        <w:t>i</w:t>
      </w:r>
      <w:proofErr w:type="spellEnd"/>
      <w:r w:rsidRPr="00094CA1">
        <w:t xml:space="preserve">) 家居生活服务;(ii) 停车位管理及租赁服务;(iii) 物业经纪服务;及 (iv) 公用区域增 值服务。 </w:t>
      </w:r>
      <w:r w:rsidR="007E3A32">
        <w:br/>
      </w:r>
    </w:p>
    <w:p w14:paraId="2B643D54" w14:textId="77777777" w:rsidR="007E3A32" w:rsidRDefault="00F907E6" w:rsidP="007E3A32">
      <w:pPr>
        <w:pStyle w:val="af"/>
        <w:numPr>
          <w:ilvl w:val="0"/>
          <w:numId w:val="7"/>
        </w:numPr>
      </w:pPr>
      <w:r w:rsidRPr="00094CA1">
        <w:t>对非业主的增值服务:</w:t>
      </w:r>
      <w:r w:rsidR="00951554" w:rsidRPr="00094CA1">
        <w:rPr>
          <w:rFonts w:hint="eastAsia"/>
        </w:rPr>
        <w:t>公司</w:t>
      </w:r>
      <w:r w:rsidRPr="00094CA1">
        <w:t>为非业主提供全面的增值服务</w:t>
      </w:r>
      <w:r w:rsidR="00951554" w:rsidRPr="00094CA1">
        <w:rPr>
          <w:rFonts w:hint="eastAsia"/>
        </w:rPr>
        <w:t>，</w:t>
      </w:r>
      <w:r w:rsidRPr="00094CA1">
        <w:t>主要包括 (</w:t>
      </w:r>
      <w:proofErr w:type="spellStart"/>
      <w:r w:rsidRPr="00094CA1">
        <w:t>i</w:t>
      </w:r>
      <w:proofErr w:type="spellEnd"/>
      <w:r w:rsidRPr="00094CA1">
        <w:t>) 协销服务;(ii) 额外专项定制服务;(iii) 房修服务;(iv) 交付前检验服务;及 (v) 前期规划及设计咨询服务，其涉及进入并检验每个单位，以从终端使用者 角度提供充分的建议</w:t>
      </w:r>
      <w:r w:rsidR="007E3A32">
        <w:rPr>
          <w:rFonts w:hint="eastAsia"/>
        </w:rPr>
        <w:t>。</w:t>
      </w:r>
    </w:p>
    <w:p w14:paraId="4A9EE451" w14:textId="27CB6687" w:rsidR="007E3A32" w:rsidRDefault="007E3A32" w:rsidP="007E3A32">
      <w:pPr>
        <w:pStyle w:val="af"/>
        <w:ind w:left="360"/>
      </w:pPr>
    </w:p>
    <w:p w14:paraId="0921EAEF" w14:textId="4C065E80" w:rsidR="00FF6771" w:rsidRPr="00094CA1" w:rsidRDefault="00F907E6" w:rsidP="007E3A32">
      <w:pPr>
        <w:pStyle w:val="af"/>
        <w:numPr>
          <w:ilvl w:val="0"/>
          <w:numId w:val="7"/>
        </w:numPr>
      </w:pPr>
      <w:r w:rsidRPr="00094CA1">
        <w:t>城市服务:</w:t>
      </w:r>
      <w:r w:rsidR="00951554" w:rsidRPr="00094CA1">
        <w:rPr>
          <w:rFonts w:hint="eastAsia"/>
        </w:rPr>
        <w:t>公司</w:t>
      </w:r>
      <w:r w:rsidRPr="00094CA1">
        <w:rPr>
          <w:rFonts w:hint="eastAsia"/>
        </w:rPr>
        <w:t>可</w:t>
      </w:r>
      <w:r w:rsidRPr="00094CA1">
        <w:t>以提供多样的城市服务。该等服务主要包括 (</w:t>
      </w:r>
      <w:proofErr w:type="spellStart"/>
      <w:r w:rsidRPr="00094CA1">
        <w:t>i</w:t>
      </w:r>
      <w:proofErr w:type="spellEnd"/>
      <w:r w:rsidRPr="00094CA1">
        <w:t>) 城市环卫;(ii) 垃圾分类处理;(iii) 路政设施安装;(iv) 园林绿化工程;(v) 老旧社区改造;及 (vi) 智慧街区建设。</w:t>
      </w:r>
    </w:p>
    <w:p w14:paraId="0EDA8F1A" w14:textId="77777777" w:rsidR="00951554" w:rsidRPr="00094CA1" w:rsidRDefault="00951554" w:rsidP="00094CA1">
      <w:pPr>
        <w:pStyle w:val="af"/>
      </w:pPr>
    </w:p>
    <w:p w14:paraId="5CA41796" w14:textId="5B381217" w:rsidR="00951554" w:rsidRPr="005D283D" w:rsidRDefault="00951554" w:rsidP="00CF3809">
      <w:pPr>
        <w:pStyle w:val="af"/>
        <w:numPr>
          <w:ilvl w:val="0"/>
          <w:numId w:val="6"/>
        </w:numPr>
        <w:rPr>
          <w:b/>
          <w:bCs/>
        </w:rPr>
      </w:pPr>
      <w:r w:rsidRPr="005D283D">
        <w:rPr>
          <w:rFonts w:hint="eastAsia"/>
          <w:b/>
          <w:bCs/>
        </w:rPr>
        <w:t>财务数据</w:t>
      </w:r>
    </w:p>
    <w:p w14:paraId="1FFE3A88" w14:textId="77777777" w:rsidR="005D283D" w:rsidRDefault="005D283D" w:rsidP="00094CA1">
      <w:pPr>
        <w:pStyle w:val="af"/>
      </w:pPr>
    </w:p>
    <w:p w14:paraId="2A0EE8E2" w14:textId="7DCB2C5A" w:rsidR="003C4A92" w:rsidRPr="009931D7" w:rsidRDefault="00CF3809" w:rsidP="00CF3809">
      <w:pPr>
        <w:pStyle w:val="af"/>
        <w:rPr>
          <w:b/>
          <w:bCs/>
        </w:rPr>
      </w:pPr>
      <w:r w:rsidRPr="009931D7">
        <w:rPr>
          <w:rFonts w:hint="eastAsia"/>
          <w:b/>
          <w:bCs/>
        </w:rPr>
        <w:t>1.</w:t>
      </w:r>
      <w:r w:rsidR="00951554" w:rsidRPr="009931D7">
        <w:rPr>
          <w:rFonts w:hint="eastAsia"/>
          <w:b/>
          <w:bCs/>
        </w:rPr>
        <w:t>资产负债表</w:t>
      </w:r>
    </w:p>
    <w:p w14:paraId="04ACEE73" w14:textId="322DE626" w:rsidR="003C4A92" w:rsidRPr="00094CA1" w:rsidRDefault="003C4A92" w:rsidP="00094CA1">
      <w:pPr>
        <w:pStyle w:val="af"/>
      </w:pPr>
      <w:r w:rsidRPr="00094CA1">
        <w:rPr>
          <w:noProof/>
        </w:rPr>
        <w:drawing>
          <wp:inline distT="0" distB="0" distL="0" distR="0" wp14:anchorId="25E2FF7F" wp14:editId="45FD4C22">
            <wp:extent cx="5274310" cy="4559300"/>
            <wp:effectExtent l="0" t="0" r="0" b="0"/>
            <wp:docPr id="1736033690" name="图片 2"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36173" name="图片 2" descr="图形用户界面, 应用程序, 表格&#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4559300"/>
                    </a:xfrm>
                    <a:prstGeom prst="rect">
                      <a:avLst/>
                    </a:prstGeom>
                  </pic:spPr>
                </pic:pic>
              </a:graphicData>
            </a:graphic>
          </wp:inline>
        </w:drawing>
      </w:r>
    </w:p>
    <w:p w14:paraId="1C866FA2" w14:textId="77777777" w:rsidR="003C4A92" w:rsidRPr="00094CA1" w:rsidRDefault="003C4A92" w:rsidP="00094CA1">
      <w:pPr>
        <w:pStyle w:val="af"/>
        <w:rPr>
          <w:rStyle w:val="ae"/>
          <w:smallCaps w:val="0"/>
          <w:color w:val="auto"/>
        </w:rPr>
      </w:pPr>
    </w:p>
    <w:p w14:paraId="6732D659" w14:textId="0DF8CABD" w:rsidR="003457C1" w:rsidRPr="002E67FC" w:rsidRDefault="00951554" w:rsidP="00094CA1">
      <w:pPr>
        <w:pStyle w:val="af"/>
        <w:rPr>
          <w:rStyle w:val="ae"/>
          <w:b/>
          <w:bCs/>
          <w:smallCaps w:val="0"/>
          <w:color w:val="auto"/>
        </w:rPr>
      </w:pPr>
      <w:r w:rsidRPr="002E67FC">
        <w:rPr>
          <w:rStyle w:val="ae"/>
          <w:rFonts w:hint="eastAsia"/>
          <w:b/>
          <w:bCs/>
          <w:smallCaps w:val="0"/>
          <w:color w:val="auto"/>
        </w:rPr>
        <w:t>截止2023年，公司总资产为</w:t>
      </w:r>
      <w:r w:rsidR="003457C1" w:rsidRPr="002E67FC">
        <w:rPr>
          <w:rStyle w:val="ae"/>
          <w:b/>
          <w:bCs/>
          <w:smallCaps w:val="0"/>
          <w:color w:val="auto"/>
        </w:rPr>
        <w:t>88.29亿元</w:t>
      </w:r>
      <w:r w:rsidR="003457C1" w:rsidRPr="002E67FC">
        <w:rPr>
          <w:rStyle w:val="ae"/>
          <w:rFonts w:hint="eastAsia"/>
          <w:b/>
          <w:bCs/>
          <w:smallCaps w:val="0"/>
          <w:color w:val="auto"/>
        </w:rPr>
        <w:t>，其中</w:t>
      </w:r>
      <w:r w:rsidR="003457C1" w:rsidRPr="002E67FC">
        <w:rPr>
          <w:rStyle w:val="ae"/>
          <w:b/>
          <w:bCs/>
          <w:smallCaps w:val="0"/>
          <w:color w:val="auto"/>
        </w:rPr>
        <w:t>非流动资产</w:t>
      </w:r>
      <w:r w:rsidR="003457C1" w:rsidRPr="002E67FC">
        <w:rPr>
          <w:rStyle w:val="ae"/>
          <w:rFonts w:hint="eastAsia"/>
          <w:b/>
          <w:bCs/>
          <w:smallCaps w:val="0"/>
          <w:color w:val="auto"/>
        </w:rPr>
        <w:t>占</w:t>
      </w:r>
      <w:r w:rsidR="003457C1" w:rsidRPr="002E67FC">
        <w:rPr>
          <w:rStyle w:val="ae"/>
          <w:b/>
          <w:bCs/>
          <w:smallCaps w:val="0"/>
          <w:color w:val="auto"/>
        </w:rPr>
        <w:t>33.72亿元</w:t>
      </w:r>
    </w:p>
    <w:p w14:paraId="77978250" w14:textId="00B643CF" w:rsidR="003457C1" w:rsidRPr="00094CA1" w:rsidRDefault="003457C1" w:rsidP="00094CA1">
      <w:pPr>
        <w:pStyle w:val="af"/>
        <w:rPr>
          <w:rStyle w:val="ae"/>
          <w:smallCaps w:val="0"/>
          <w:color w:val="auto"/>
        </w:rPr>
      </w:pPr>
      <w:r w:rsidRPr="00094CA1">
        <w:rPr>
          <w:rStyle w:val="ae"/>
          <w:rFonts w:hint="eastAsia"/>
          <w:smallCaps w:val="0"/>
          <w:color w:val="auto"/>
        </w:rPr>
        <w:t>包括</w:t>
      </w:r>
      <w:r w:rsidRPr="00094CA1">
        <w:rPr>
          <w:rStyle w:val="ae"/>
          <w:smallCaps w:val="0"/>
          <w:color w:val="auto"/>
        </w:rPr>
        <w:t>物业、厂房及设备：1.48亿元</w:t>
      </w:r>
      <w:r w:rsidRPr="00094CA1">
        <w:rPr>
          <w:rStyle w:val="ae"/>
          <w:rFonts w:hint="eastAsia"/>
          <w:smallCaps w:val="0"/>
          <w:color w:val="auto"/>
        </w:rPr>
        <w:t>；</w:t>
      </w:r>
      <w:r w:rsidRPr="00094CA1">
        <w:rPr>
          <w:rStyle w:val="ae"/>
          <w:smallCaps w:val="0"/>
          <w:color w:val="auto"/>
        </w:rPr>
        <w:t>投资物业：5.58亿元</w:t>
      </w:r>
      <w:r w:rsidRPr="00094CA1">
        <w:rPr>
          <w:rStyle w:val="ae"/>
          <w:rFonts w:hint="eastAsia"/>
          <w:smallCaps w:val="0"/>
          <w:color w:val="auto"/>
        </w:rPr>
        <w:t>；</w:t>
      </w:r>
      <w:r w:rsidRPr="00094CA1">
        <w:rPr>
          <w:rStyle w:val="ae"/>
          <w:smallCaps w:val="0"/>
          <w:color w:val="auto"/>
        </w:rPr>
        <w:t>无形资产：3.18亿元</w:t>
      </w:r>
    </w:p>
    <w:p w14:paraId="330D7C96" w14:textId="3E4D0092" w:rsidR="003457C1" w:rsidRPr="00094CA1" w:rsidRDefault="003457C1" w:rsidP="00094CA1">
      <w:pPr>
        <w:pStyle w:val="af"/>
        <w:rPr>
          <w:rStyle w:val="ae"/>
          <w:smallCaps w:val="0"/>
          <w:color w:val="auto"/>
        </w:rPr>
      </w:pPr>
      <w:r w:rsidRPr="00094CA1">
        <w:rPr>
          <w:rStyle w:val="ae"/>
          <w:smallCaps w:val="0"/>
          <w:color w:val="auto"/>
        </w:rPr>
        <w:t>商誉：14.88亿元</w:t>
      </w:r>
      <w:r w:rsidRPr="00094CA1">
        <w:rPr>
          <w:rStyle w:val="ae"/>
          <w:rFonts w:hint="eastAsia"/>
          <w:smallCaps w:val="0"/>
          <w:color w:val="auto"/>
        </w:rPr>
        <w:t>；</w:t>
      </w:r>
      <w:r w:rsidRPr="00094CA1">
        <w:rPr>
          <w:rStyle w:val="ae"/>
          <w:smallCaps w:val="0"/>
          <w:color w:val="auto"/>
        </w:rPr>
        <w:t>递延税项资产：0.83亿元</w:t>
      </w:r>
      <w:r w:rsidRPr="00094CA1">
        <w:rPr>
          <w:rStyle w:val="ae"/>
          <w:rFonts w:hint="eastAsia"/>
          <w:smallCaps w:val="0"/>
          <w:color w:val="auto"/>
        </w:rPr>
        <w:t>；</w:t>
      </w:r>
      <w:r w:rsidRPr="00094CA1">
        <w:rPr>
          <w:rStyle w:val="ae"/>
          <w:smallCaps w:val="0"/>
          <w:color w:val="auto"/>
        </w:rPr>
        <w:t>预付款项及其他应收款项：3.99亿元</w:t>
      </w:r>
    </w:p>
    <w:p w14:paraId="7EE3451D" w14:textId="6C754B74" w:rsidR="003457C1" w:rsidRDefault="003457C1" w:rsidP="00094CA1">
      <w:pPr>
        <w:pStyle w:val="af"/>
        <w:rPr>
          <w:b/>
          <w:bCs/>
        </w:rPr>
      </w:pPr>
      <w:r w:rsidRPr="00094CA1">
        <w:rPr>
          <w:rStyle w:val="ae"/>
          <w:smallCaps w:val="0"/>
          <w:color w:val="auto"/>
        </w:rPr>
        <w:t>按公允值计入损益（按公允值计入损益）之金融资产：3.63亿元</w:t>
      </w:r>
      <w:r w:rsidRPr="00094CA1">
        <w:rPr>
          <w:rStyle w:val="ae"/>
          <w:rFonts w:hint="eastAsia"/>
          <w:smallCaps w:val="0"/>
          <w:color w:val="auto"/>
        </w:rPr>
        <w:t>；</w:t>
      </w:r>
      <w:r w:rsidRPr="00094CA1">
        <w:rPr>
          <w:rStyle w:val="ae"/>
          <w:smallCaps w:val="0"/>
          <w:color w:val="auto"/>
        </w:rPr>
        <w:t>道延合约成本：0.38亿元</w:t>
      </w:r>
      <w:r w:rsidRPr="00094CA1">
        <w:rPr>
          <w:rStyle w:val="ae"/>
          <w:rFonts w:hint="eastAsia"/>
          <w:smallCaps w:val="0"/>
          <w:color w:val="auto"/>
        </w:rPr>
        <w:t>。</w:t>
      </w:r>
      <w:r w:rsidRPr="002E67FC">
        <w:rPr>
          <w:rStyle w:val="ae"/>
          <w:b/>
          <w:bCs/>
          <w:smallCaps w:val="0"/>
          <w:color w:val="auto"/>
        </w:rPr>
        <w:t>流动资产</w:t>
      </w:r>
      <w:r w:rsidRPr="002E67FC">
        <w:rPr>
          <w:rStyle w:val="ae"/>
          <w:rFonts w:hint="eastAsia"/>
          <w:b/>
          <w:bCs/>
          <w:smallCaps w:val="0"/>
          <w:color w:val="auto"/>
        </w:rPr>
        <w:t>占</w:t>
      </w:r>
      <w:r w:rsidRPr="002E67FC">
        <w:rPr>
          <w:rStyle w:val="ae"/>
          <w:b/>
          <w:bCs/>
          <w:smallCaps w:val="0"/>
          <w:color w:val="auto"/>
        </w:rPr>
        <w:t>54.57亿元</w:t>
      </w:r>
      <w:r w:rsidRPr="00094CA1">
        <w:rPr>
          <w:rStyle w:val="ae"/>
          <w:rFonts w:hint="eastAsia"/>
          <w:smallCaps w:val="0"/>
          <w:color w:val="auto"/>
        </w:rPr>
        <w:t>，包括</w:t>
      </w:r>
      <w:r w:rsidRPr="00094CA1">
        <w:rPr>
          <w:rStyle w:val="ae"/>
          <w:smallCaps w:val="0"/>
          <w:color w:val="auto"/>
        </w:rPr>
        <w:t>存货：0.32亿元</w:t>
      </w:r>
      <w:r w:rsidRPr="00094CA1">
        <w:rPr>
          <w:rStyle w:val="ae"/>
          <w:rFonts w:hint="eastAsia"/>
          <w:smallCaps w:val="0"/>
          <w:color w:val="auto"/>
        </w:rPr>
        <w:t>，</w:t>
      </w:r>
      <w:r w:rsidRPr="00094CA1">
        <w:rPr>
          <w:rStyle w:val="ae"/>
          <w:smallCaps w:val="0"/>
          <w:color w:val="auto"/>
        </w:rPr>
        <w:t>贸易应收款项及应收票据：21.82亿元</w:t>
      </w:r>
      <w:r w:rsidRPr="00094CA1">
        <w:rPr>
          <w:rStyle w:val="ae"/>
          <w:rFonts w:hint="eastAsia"/>
          <w:smallCaps w:val="0"/>
          <w:color w:val="auto"/>
        </w:rPr>
        <w:t>，</w:t>
      </w:r>
      <w:r w:rsidRPr="00094CA1">
        <w:rPr>
          <w:rStyle w:val="ae"/>
          <w:smallCaps w:val="0"/>
          <w:color w:val="auto"/>
        </w:rPr>
        <w:t>预付款项及其他应收款项：8.85亿元</w:t>
      </w:r>
      <w:r w:rsidRPr="00094CA1">
        <w:rPr>
          <w:rStyle w:val="ae"/>
          <w:rFonts w:hint="eastAsia"/>
          <w:smallCaps w:val="0"/>
          <w:color w:val="auto"/>
        </w:rPr>
        <w:t>，</w:t>
      </w:r>
      <w:r w:rsidRPr="00094CA1">
        <w:rPr>
          <w:rStyle w:val="ae"/>
          <w:smallCaps w:val="0"/>
          <w:color w:val="auto"/>
        </w:rPr>
        <w:t>受限制现金：3.82亿元</w:t>
      </w:r>
      <w:r w:rsidRPr="00094CA1">
        <w:rPr>
          <w:rStyle w:val="ae"/>
          <w:rFonts w:hint="eastAsia"/>
          <w:smallCaps w:val="0"/>
          <w:color w:val="auto"/>
        </w:rPr>
        <w:t>，</w:t>
      </w:r>
      <w:r w:rsidRPr="00094CA1">
        <w:rPr>
          <w:rStyle w:val="ae"/>
          <w:smallCaps w:val="0"/>
          <w:color w:val="auto"/>
        </w:rPr>
        <w:t>现金及现金等价物：23.41亿元</w:t>
      </w:r>
      <w:r w:rsidRPr="00094CA1">
        <w:rPr>
          <w:rStyle w:val="ae"/>
          <w:rFonts w:hint="eastAsia"/>
          <w:smallCaps w:val="0"/>
          <w:color w:val="auto"/>
        </w:rPr>
        <w:t>，</w:t>
      </w:r>
      <w:r w:rsidRPr="00094CA1">
        <w:rPr>
          <w:rStyle w:val="ae"/>
          <w:smallCaps w:val="0"/>
          <w:color w:val="auto"/>
        </w:rPr>
        <w:t>按公允值计入损益之金融资产：0.04亿元</w:t>
      </w:r>
      <w:r w:rsidR="003C4A92" w:rsidRPr="00094CA1">
        <w:rPr>
          <w:rStyle w:val="ae"/>
          <w:rFonts w:hint="eastAsia"/>
          <w:smallCaps w:val="0"/>
          <w:color w:val="auto"/>
        </w:rPr>
        <w:t>。</w:t>
      </w:r>
      <w:r w:rsidRPr="009079C8">
        <w:rPr>
          <w:rFonts w:hint="eastAsia"/>
          <w:b/>
          <w:bCs/>
        </w:rPr>
        <w:t>而公司</w:t>
      </w:r>
      <w:r w:rsidR="003C4A92" w:rsidRPr="009079C8">
        <w:rPr>
          <w:rFonts w:hint="eastAsia"/>
          <w:b/>
          <w:bCs/>
        </w:rPr>
        <w:t>总</w:t>
      </w:r>
      <w:r w:rsidRPr="009079C8">
        <w:rPr>
          <w:b/>
          <w:bCs/>
        </w:rPr>
        <w:t>负债</w:t>
      </w:r>
      <w:r w:rsidRPr="009079C8">
        <w:rPr>
          <w:rFonts w:hint="eastAsia"/>
          <w:b/>
          <w:bCs/>
        </w:rPr>
        <w:lastRenderedPageBreak/>
        <w:t>为36.15</w:t>
      </w:r>
      <w:r w:rsidRPr="009079C8">
        <w:rPr>
          <w:b/>
          <w:bCs/>
        </w:rPr>
        <w:t>亿元</w:t>
      </w:r>
      <w:r w:rsidRPr="009079C8">
        <w:rPr>
          <w:rFonts w:hint="eastAsia"/>
          <w:b/>
          <w:bCs/>
        </w:rPr>
        <w:t>，其中</w:t>
      </w:r>
      <w:r w:rsidRPr="009079C8">
        <w:rPr>
          <w:b/>
          <w:bCs/>
        </w:rPr>
        <w:t>非流动</w:t>
      </w:r>
      <w:r w:rsidRPr="009079C8">
        <w:rPr>
          <w:rFonts w:hint="eastAsia"/>
          <w:b/>
          <w:bCs/>
        </w:rPr>
        <w:t>负债为</w:t>
      </w:r>
      <w:r w:rsidR="003C4A92" w:rsidRPr="009079C8">
        <w:rPr>
          <w:rFonts w:hint="eastAsia"/>
          <w:b/>
          <w:bCs/>
        </w:rPr>
        <w:t>1.04</w:t>
      </w:r>
      <w:r w:rsidRPr="009079C8">
        <w:rPr>
          <w:b/>
          <w:bCs/>
        </w:rPr>
        <w:t>亿</w:t>
      </w:r>
      <w:r w:rsidR="003C4A92" w:rsidRPr="009079C8">
        <w:rPr>
          <w:rFonts w:hint="eastAsia"/>
          <w:b/>
          <w:bCs/>
        </w:rPr>
        <w:t>，而</w:t>
      </w:r>
      <w:r w:rsidRPr="009079C8">
        <w:rPr>
          <w:b/>
          <w:bCs/>
        </w:rPr>
        <w:t>流动负债</w:t>
      </w:r>
      <w:r w:rsidR="003C4A92" w:rsidRPr="009079C8">
        <w:rPr>
          <w:rFonts w:hint="eastAsia"/>
          <w:b/>
          <w:bCs/>
        </w:rPr>
        <w:t>为</w:t>
      </w:r>
      <w:r w:rsidRPr="009079C8">
        <w:rPr>
          <w:rFonts w:hint="eastAsia"/>
          <w:b/>
          <w:bCs/>
        </w:rPr>
        <w:t>35.</w:t>
      </w:r>
      <w:r w:rsidR="003C4A92" w:rsidRPr="009079C8">
        <w:rPr>
          <w:rFonts w:hint="eastAsia"/>
          <w:b/>
          <w:bCs/>
        </w:rPr>
        <w:t>11</w:t>
      </w:r>
      <w:r w:rsidRPr="009079C8">
        <w:rPr>
          <w:b/>
          <w:bCs/>
        </w:rPr>
        <w:t>亿元</w:t>
      </w:r>
      <w:r w:rsidR="003C4A92" w:rsidRPr="009079C8">
        <w:rPr>
          <w:rFonts w:hint="eastAsia"/>
          <w:b/>
          <w:bCs/>
        </w:rPr>
        <w:t>。</w:t>
      </w:r>
    </w:p>
    <w:p w14:paraId="561C81F3" w14:textId="77777777" w:rsidR="009541F9" w:rsidRPr="009079C8" w:rsidRDefault="009541F9" w:rsidP="00094CA1">
      <w:pPr>
        <w:pStyle w:val="af"/>
        <w:rPr>
          <w:b/>
          <w:bCs/>
        </w:rPr>
      </w:pPr>
    </w:p>
    <w:p w14:paraId="73F2788F" w14:textId="7C34EA13" w:rsidR="00F04E02" w:rsidRPr="00094CA1" w:rsidRDefault="003C4A92" w:rsidP="00094CA1">
      <w:pPr>
        <w:pStyle w:val="af"/>
        <w:rPr>
          <w:b/>
          <w:bCs/>
          <w:color w:val="000000" w:themeColor="text1"/>
        </w:rPr>
      </w:pPr>
      <w:r w:rsidRPr="00094CA1">
        <w:rPr>
          <w:rFonts w:hint="eastAsia"/>
          <w:b/>
          <w:bCs/>
          <w:color w:val="000000" w:themeColor="text1"/>
        </w:rPr>
        <w:t>分析：</w:t>
      </w:r>
    </w:p>
    <w:p w14:paraId="024B5E9A" w14:textId="2EE0687C" w:rsidR="003C4A92" w:rsidRPr="00F04E02" w:rsidRDefault="003C4A92" w:rsidP="00094CA1">
      <w:pPr>
        <w:pStyle w:val="af"/>
        <w:rPr>
          <w:b/>
          <w:bCs/>
          <w:smallCaps/>
          <w:color w:val="5A5A5A" w:themeColor="text1" w:themeTint="A5"/>
        </w:rPr>
      </w:pPr>
      <w:r w:rsidRPr="00F04E02">
        <w:rPr>
          <w:rFonts w:hint="eastAsia"/>
          <w:b/>
          <w:bCs/>
        </w:rPr>
        <w:t>无形资产&amp;商誉：</w:t>
      </w:r>
    </w:p>
    <w:p w14:paraId="63B3A0B8" w14:textId="66372625" w:rsidR="003C4A92" w:rsidRPr="00094CA1" w:rsidRDefault="003C4A92" w:rsidP="00094CA1">
      <w:pPr>
        <w:pStyle w:val="af"/>
        <w:rPr>
          <w:color w:val="C00000"/>
        </w:rPr>
      </w:pPr>
      <w:r w:rsidRPr="00094CA1">
        <w:t>无形资产和商誉</w:t>
      </w:r>
      <w:r w:rsidRPr="00094CA1">
        <w:rPr>
          <w:rFonts w:hint="eastAsia"/>
        </w:rPr>
        <w:t>均</w:t>
      </w:r>
      <w:r w:rsidRPr="00094CA1">
        <w:t>在21年有猛增</w:t>
      </w:r>
      <w:r w:rsidRPr="00094CA1">
        <w:rPr>
          <w:rFonts w:hint="eastAsia"/>
        </w:rPr>
        <w:t>，</w:t>
      </w:r>
      <w:r w:rsidRPr="00094CA1">
        <w:t xml:space="preserve">无形资产从 </w:t>
      </w:r>
      <w:r w:rsidRPr="00094CA1">
        <w:rPr>
          <w:color w:val="C00000"/>
        </w:rPr>
        <w:t>9,104.9万元</w:t>
      </w:r>
      <w:r w:rsidRPr="00094CA1">
        <w:t>增至</w:t>
      </w:r>
      <w:r w:rsidR="00E6324A" w:rsidRPr="00094CA1">
        <w:rPr>
          <w:color w:val="C00000"/>
        </w:rPr>
        <w:t>3.72亿</w:t>
      </w:r>
      <w:r w:rsidR="00E6324A" w:rsidRPr="00094CA1">
        <w:rPr>
          <w:rFonts w:hint="eastAsia"/>
          <w:color w:val="000000" w:themeColor="text1"/>
        </w:rPr>
        <w:t>，</w:t>
      </w:r>
    </w:p>
    <w:p w14:paraId="319F4C40" w14:textId="3323447B" w:rsidR="003C4A92" w:rsidRPr="00094CA1" w:rsidRDefault="003C4A92" w:rsidP="00094CA1">
      <w:pPr>
        <w:pStyle w:val="af"/>
      </w:pPr>
      <w:r w:rsidRPr="00094CA1">
        <w:t>商誉从</w:t>
      </w:r>
      <w:r w:rsidR="00E6324A" w:rsidRPr="00094CA1">
        <w:t>从</w:t>
      </w:r>
      <w:r w:rsidR="00E6324A" w:rsidRPr="00094CA1">
        <w:rPr>
          <w:color w:val="C00000"/>
        </w:rPr>
        <w:t>4.71亿</w:t>
      </w:r>
      <w:r w:rsidR="00E6324A" w:rsidRPr="00094CA1">
        <w:t>增至</w:t>
      </w:r>
      <w:r w:rsidR="00E6324A" w:rsidRPr="00094CA1">
        <w:rPr>
          <w:color w:val="C00000"/>
        </w:rPr>
        <w:t>13.44亿</w:t>
      </w:r>
      <w:r w:rsidRPr="00094CA1">
        <w:t>。</w:t>
      </w:r>
      <w:r w:rsidRPr="002F2757">
        <w:rPr>
          <w:b/>
          <w:bCs/>
        </w:rPr>
        <w:t>主要原因是公司在2021年进行了多个大规模的收购活动，例如青岛雅园、上海星悦和美凯龙物业。</w:t>
      </w:r>
      <w:r w:rsidRPr="00094CA1">
        <w:t>这些收购活动带来了显著的商誉增加，</w:t>
      </w:r>
      <w:r w:rsidRPr="002F2757">
        <w:t>特别是青岛雅园和美凯龙物业的并购</w:t>
      </w:r>
      <w:r w:rsidRPr="00094CA1">
        <w:t>。无形资产：新并购的公司带来了大量新的客户关系，例如</w:t>
      </w:r>
      <w:r w:rsidRPr="0098679E">
        <w:t>，</w:t>
      </w:r>
      <w:r w:rsidRPr="0098679E">
        <w:rPr>
          <w:b/>
          <w:bCs/>
        </w:rPr>
        <w:t>上海星悦和美凯龙物业的客户关系对无形资产的贡献显著</w:t>
      </w:r>
      <w:r w:rsidRPr="0098679E">
        <w:t>。</w:t>
      </w:r>
    </w:p>
    <w:p w14:paraId="71F7719A" w14:textId="77777777" w:rsidR="003C4A92" w:rsidRPr="00094CA1" w:rsidRDefault="003C4A92" w:rsidP="00094CA1">
      <w:pPr>
        <w:pStyle w:val="af"/>
      </w:pPr>
    </w:p>
    <w:p w14:paraId="49B54DBE" w14:textId="647C247E" w:rsidR="003C4A92" w:rsidRPr="00094CA1" w:rsidRDefault="003C4A92" w:rsidP="00094CA1">
      <w:pPr>
        <w:pStyle w:val="af"/>
      </w:pPr>
      <w:r w:rsidRPr="00094CA1">
        <w:rPr>
          <w:noProof/>
          <w:color w:val="215E99" w:themeColor="text2" w:themeTint="BF"/>
        </w:rPr>
        <w:drawing>
          <wp:inline distT="0" distB="0" distL="0" distR="0" wp14:anchorId="0990D875" wp14:editId="61D94189">
            <wp:extent cx="5274310" cy="2326005"/>
            <wp:effectExtent l="0" t="0" r="0" b="0"/>
            <wp:docPr id="981794813" name="图片 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94813" name="图片 7" descr="表格&#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326005"/>
                    </a:xfrm>
                    <a:prstGeom prst="rect">
                      <a:avLst/>
                    </a:prstGeom>
                  </pic:spPr>
                </pic:pic>
              </a:graphicData>
            </a:graphic>
          </wp:inline>
        </w:drawing>
      </w:r>
    </w:p>
    <w:p w14:paraId="484A068D" w14:textId="77777777" w:rsidR="003C4A92" w:rsidRPr="00094CA1" w:rsidRDefault="003C4A92" w:rsidP="00094CA1">
      <w:pPr>
        <w:pStyle w:val="af"/>
      </w:pPr>
    </w:p>
    <w:p w14:paraId="643EBC18" w14:textId="77777777" w:rsidR="003C4A92" w:rsidRPr="00094CA1" w:rsidRDefault="003C4A92" w:rsidP="00094CA1">
      <w:pPr>
        <w:pStyle w:val="af"/>
      </w:pPr>
    </w:p>
    <w:p w14:paraId="66A411AB" w14:textId="3BFBA418" w:rsidR="004A1201" w:rsidRPr="00F04E02" w:rsidRDefault="004A1201" w:rsidP="00094CA1">
      <w:pPr>
        <w:pStyle w:val="af"/>
        <w:rPr>
          <w:b/>
          <w:bCs/>
        </w:rPr>
      </w:pPr>
      <w:r w:rsidRPr="00F04E02">
        <w:rPr>
          <w:rFonts w:hint="eastAsia"/>
          <w:b/>
          <w:bCs/>
        </w:rPr>
        <w:t>贸易及其他应收款：</w:t>
      </w:r>
    </w:p>
    <w:p w14:paraId="154C13DC" w14:textId="6B0D3B5C" w:rsidR="004A1201" w:rsidRPr="00094CA1" w:rsidRDefault="004A1201" w:rsidP="00094CA1">
      <w:pPr>
        <w:pStyle w:val="af"/>
      </w:pPr>
      <w:r w:rsidRPr="00094CA1">
        <w:t>趋势：从21年到23年连续三年</w:t>
      </w:r>
      <w:r w:rsidRPr="00094CA1">
        <w:rPr>
          <w:b/>
          <w:bCs/>
        </w:rPr>
        <w:t>大幅增长</w:t>
      </w:r>
      <w:r w:rsidRPr="00094CA1">
        <w:rPr>
          <w:rFonts w:hint="eastAsia"/>
        </w:rPr>
        <w:t>；</w:t>
      </w:r>
      <w:r w:rsidRPr="00094CA1">
        <w:t xml:space="preserve">2022年: </w:t>
      </w:r>
      <w:r w:rsidRPr="00094CA1">
        <w:rPr>
          <w:color w:val="C00000"/>
        </w:rPr>
        <w:t>17</w:t>
      </w:r>
      <w:r w:rsidR="00E6324A" w:rsidRPr="00094CA1">
        <w:rPr>
          <w:color w:val="C00000"/>
        </w:rPr>
        <w:t>.</w:t>
      </w:r>
      <w:r w:rsidRPr="00094CA1">
        <w:rPr>
          <w:color w:val="C00000"/>
        </w:rPr>
        <w:t>7</w:t>
      </w:r>
      <w:r w:rsidR="00E6324A" w:rsidRPr="00094CA1">
        <w:rPr>
          <w:rFonts w:hint="eastAsia"/>
          <w:color w:val="C00000"/>
        </w:rPr>
        <w:t>亿</w:t>
      </w:r>
      <w:r w:rsidRPr="00094CA1">
        <w:rPr>
          <w:color w:val="C00000"/>
        </w:rPr>
        <w:t>元</w:t>
      </w:r>
      <w:r w:rsidRPr="00094CA1">
        <w:t>，较2021年增长了</w:t>
      </w:r>
      <w:r w:rsidRPr="00094CA1">
        <w:rPr>
          <w:color w:val="C00000"/>
        </w:rPr>
        <w:t>125%</w:t>
      </w:r>
      <w:r w:rsidRPr="00094CA1">
        <w:rPr>
          <w:rFonts w:hint="eastAsia"/>
        </w:rPr>
        <w:t>；</w:t>
      </w:r>
      <w:r w:rsidRPr="00094CA1">
        <w:t xml:space="preserve">2023年: </w:t>
      </w:r>
      <w:r w:rsidRPr="00094CA1">
        <w:rPr>
          <w:color w:val="C00000"/>
        </w:rPr>
        <w:t>21</w:t>
      </w:r>
      <w:r w:rsidR="00E6324A" w:rsidRPr="00094CA1">
        <w:rPr>
          <w:color w:val="C00000"/>
        </w:rPr>
        <w:t>.</w:t>
      </w:r>
      <w:r w:rsidRPr="00094CA1">
        <w:rPr>
          <w:color w:val="C00000"/>
        </w:rPr>
        <w:t>8</w:t>
      </w:r>
      <w:r w:rsidR="00E6324A" w:rsidRPr="00094CA1">
        <w:rPr>
          <w:rFonts w:hint="eastAsia"/>
          <w:color w:val="C00000"/>
        </w:rPr>
        <w:t>亿</w:t>
      </w:r>
      <w:r w:rsidRPr="00094CA1">
        <w:rPr>
          <w:color w:val="C00000"/>
        </w:rPr>
        <w:t>元</w:t>
      </w:r>
      <w:r w:rsidRPr="00094CA1">
        <w:t>，较2022年增长了</w:t>
      </w:r>
      <w:r w:rsidRPr="00094CA1">
        <w:rPr>
          <w:color w:val="C00000"/>
        </w:rPr>
        <w:t>23%</w:t>
      </w:r>
      <w:r w:rsidRPr="00094CA1">
        <w:t>。</w:t>
      </w:r>
    </w:p>
    <w:p w14:paraId="042F378A" w14:textId="77777777" w:rsidR="004A1201" w:rsidRPr="00094CA1" w:rsidRDefault="004A1201" w:rsidP="00094CA1">
      <w:pPr>
        <w:pStyle w:val="af"/>
      </w:pPr>
    </w:p>
    <w:p w14:paraId="53EAECCD" w14:textId="0A34E371" w:rsidR="004A1201" w:rsidRDefault="004A1201" w:rsidP="00094CA1">
      <w:pPr>
        <w:pStyle w:val="af"/>
      </w:pPr>
      <w:r w:rsidRPr="00094CA1">
        <w:rPr>
          <w:rFonts w:cs="宋体"/>
          <w:noProof/>
          <w:color w:val="215E99" w:themeColor="text2" w:themeTint="BF"/>
          <w:kern w:val="0"/>
        </w:rPr>
        <w:drawing>
          <wp:inline distT="0" distB="0" distL="0" distR="0" wp14:anchorId="2A06236B" wp14:editId="0FC9A64B">
            <wp:extent cx="3762703" cy="1429699"/>
            <wp:effectExtent l="0" t="0" r="0" b="5715"/>
            <wp:docPr id="71185145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51450" name="图片 1" descr="表格&#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5346" cy="1476299"/>
                    </a:xfrm>
                    <a:prstGeom prst="rect">
                      <a:avLst/>
                    </a:prstGeom>
                  </pic:spPr>
                </pic:pic>
              </a:graphicData>
            </a:graphic>
          </wp:inline>
        </w:drawing>
      </w:r>
    </w:p>
    <w:p w14:paraId="5E6309FC" w14:textId="77777777" w:rsidR="000C07B0" w:rsidRPr="00094CA1" w:rsidRDefault="000C07B0" w:rsidP="00094CA1">
      <w:pPr>
        <w:pStyle w:val="af"/>
      </w:pPr>
    </w:p>
    <w:p w14:paraId="360744D2" w14:textId="34A5F022" w:rsidR="004A1201" w:rsidRPr="00094CA1" w:rsidRDefault="004A1201" w:rsidP="00094CA1">
      <w:pPr>
        <w:pStyle w:val="af"/>
      </w:pPr>
      <w:r w:rsidRPr="002F2757">
        <w:t>关联方交易从2021年的</w:t>
      </w:r>
      <w:r w:rsidRPr="002F2757">
        <w:rPr>
          <w:color w:val="C00000"/>
        </w:rPr>
        <w:t>1</w:t>
      </w:r>
      <w:r w:rsidR="00E6324A" w:rsidRPr="002F2757">
        <w:rPr>
          <w:color w:val="C00000"/>
        </w:rPr>
        <w:t>.36</w:t>
      </w:r>
      <w:r w:rsidR="00953601" w:rsidRPr="002F2757">
        <w:rPr>
          <w:rFonts w:hint="eastAsia"/>
          <w:color w:val="C00000"/>
        </w:rPr>
        <w:t>亿</w:t>
      </w:r>
      <w:r w:rsidRPr="002F2757">
        <w:rPr>
          <w:color w:val="C00000"/>
        </w:rPr>
        <w:t>元</w:t>
      </w:r>
      <w:r w:rsidRPr="002F2757">
        <w:t>增加到</w:t>
      </w:r>
      <w:r w:rsidRPr="002F2757">
        <w:rPr>
          <w:color w:val="C00000"/>
        </w:rPr>
        <w:t>7</w:t>
      </w:r>
      <w:r w:rsidR="00E6324A" w:rsidRPr="002F2757">
        <w:rPr>
          <w:color w:val="C00000"/>
        </w:rPr>
        <w:t>.87</w:t>
      </w:r>
      <w:r w:rsidR="00953601" w:rsidRPr="002F2757">
        <w:rPr>
          <w:rFonts w:hint="eastAsia"/>
          <w:color w:val="C00000"/>
        </w:rPr>
        <w:t>亿</w:t>
      </w:r>
      <w:r w:rsidRPr="002F2757">
        <w:rPr>
          <w:color w:val="C00000"/>
        </w:rPr>
        <w:t>元</w:t>
      </w:r>
      <w:r w:rsidR="009C14CA">
        <w:rPr>
          <w:color w:val="C00000"/>
        </w:rPr>
        <w:t xml:space="preserve"> (</w:t>
      </w:r>
      <w:r w:rsidR="008F51EF">
        <w:rPr>
          <w:rFonts w:hint="eastAsia"/>
          <w:color w:val="C00000"/>
        </w:rPr>
        <w:t>曾</w:t>
      </w:r>
      <w:r w:rsidR="009C14CA">
        <w:rPr>
          <w:rFonts w:hint="eastAsia"/>
          <w:color w:val="C00000"/>
        </w:rPr>
        <w:t>遭到质疑）</w:t>
      </w:r>
      <w:r w:rsidRPr="002F2757">
        <w:t>，第三方交易</w:t>
      </w:r>
      <w:r w:rsidRPr="00094CA1">
        <w:t>从2021年的</w:t>
      </w:r>
      <w:r w:rsidRPr="00094CA1">
        <w:rPr>
          <w:color w:val="C00000"/>
        </w:rPr>
        <w:t>7</w:t>
      </w:r>
      <w:r w:rsidR="00E6324A" w:rsidRPr="00094CA1">
        <w:rPr>
          <w:color w:val="C00000"/>
        </w:rPr>
        <w:t>.61</w:t>
      </w:r>
      <w:r w:rsidR="00953601" w:rsidRPr="00094CA1">
        <w:rPr>
          <w:rFonts w:hint="eastAsia"/>
          <w:color w:val="C00000"/>
        </w:rPr>
        <w:t>亿</w:t>
      </w:r>
      <w:r w:rsidRPr="00094CA1">
        <w:rPr>
          <w:rFonts w:hint="eastAsia"/>
          <w:color w:val="C00000"/>
        </w:rPr>
        <w:t>元</w:t>
      </w:r>
      <w:r w:rsidRPr="00094CA1">
        <w:t>增加到</w:t>
      </w:r>
      <w:r w:rsidRPr="00094CA1">
        <w:rPr>
          <w:color w:val="C00000"/>
        </w:rPr>
        <w:t>12</w:t>
      </w:r>
      <w:r w:rsidR="00E6324A" w:rsidRPr="00094CA1">
        <w:rPr>
          <w:color w:val="C00000"/>
        </w:rPr>
        <w:t>.1</w:t>
      </w:r>
      <w:r w:rsidR="00953601" w:rsidRPr="00094CA1">
        <w:rPr>
          <w:rFonts w:hint="eastAsia"/>
          <w:color w:val="C00000"/>
        </w:rPr>
        <w:t>亿</w:t>
      </w:r>
      <w:r w:rsidRPr="00094CA1">
        <w:rPr>
          <w:color w:val="C00000"/>
        </w:rPr>
        <w:t>元</w:t>
      </w:r>
      <w:r w:rsidRPr="00094CA1">
        <w:t>。</w:t>
      </w:r>
      <w:r w:rsidRPr="002F2757">
        <w:rPr>
          <w:b/>
          <w:bCs/>
        </w:rPr>
        <w:t>公司与关联方和第三方的交易量均有显著增长，这种增长主要来自于物业管理、社区增值服务及城市服务。</w:t>
      </w:r>
    </w:p>
    <w:p w14:paraId="4FE7F20C" w14:textId="35B6BD64" w:rsidR="004A1201" w:rsidRPr="00094CA1" w:rsidRDefault="000578D5" w:rsidP="00094CA1">
      <w:pPr>
        <w:pStyle w:val="af"/>
      </w:pPr>
      <w:r w:rsidRPr="00094CA1">
        <w:rPr>
          <w:rFonts w:hint="eastAsia"/>
        </w:rPr>
        <w:t>信贷损失拨备</w:t>
      </w:r>
      <w:r w:rsidR="004A1201" w:rsidRPr="00094CA1">
        <w:t>从2021年的</w:t>
      </w:r>
      <w:r w:rsidR="004A1201" w:rsidRPr="00094CA1">
        <w:rPr>
          <w:color w:val="C00000"/>
        </w:rPr>
        <w:t>1</w:t>
      </w:r>
      <w:r w:rsidR="00E6324A" w:rsidRPr="00094CA1">
        <w:rPr>
          <w:color w:val="C00000"/>
        </w:rPr>
        <w:t>.1</w:t>
      </w:r>
      <w:r w:rsidR="00953601" w:rsidRPr="00094CA1">
        <w:rPr>
          <w:rFonts w:hint="eastAsia"/>
          <w:color w:val="C00000"/>
        </w:rPr>
        <w:t>亿</w:t>
      </w:r>
      <w:r w:rsidR="004A1201" w:rsidRPr="00094CA1">
        <w:rPr>
          <w:color w:val="C00000"/>
        </w:rPr>
        <w:t>元</w:t>
      </w:r>
      <w:r w:rsidR="004A1201" w:rsidRPr="00094CA1">
        <w:rPr>
          <w:rFonts w:hint="eastAsia"/>
        </w:rPr>
        <w:t>增</w:t>
      </w:r>
      <w:r w:rsidR="004A1201" w:rsidRPr="00094CA1">
        <w:t>到2022年的</w:t>
      </w:r>
      <w:r w:rsidR="004A1201" w:rsidRPr="00094CA1">
        <w:rPr>
          <w:color w:val="C00000"/>
        </w:rPr>
        <w:t>2</w:t>
      </w:r>
      <w:r w:rsidR="00E6324A" w:rsidRPr="00094CA1">
        <w:rPr>
          <w:color w:val="C00000"/>
        </w:rPr>
        <w:t>.29</w:t>
      </w:r>
      <w:r w:rsidR="00953601" w:rsidRPr="00094CA1">
        <w:rPr>
          <w:rFonts w:hint="eastAsia"/>
          <w:color w:val="C00000"/>
        </w:rPr>
        <w:t>亿</w:t>
      </w:r>
      <w:r w:rsidR="004A1201" w:rsidRPr="00094CA1">
        <w:rPr>
          <w:color w:val="C00000"/>
        </w:rPr>
        <w:t>元</w:t>
      </w:r>
      <w:r w:rsidR="004A1201" w:rsidRPr="00094CA1">
        <w:t>，</w:t>
      </w:r>
      <w:r w:rsidR="004A1201" w:rsidRPr="00094CA1">
        <w:rPr>
          <w:rFonts w:hint="eastAsia"/>
        </w:rPr>
        <w:t>再到2023年的</w:t>
      </w:r>
      <w:r w:rsidR="004A1201" w:rsidRPr="00094CA1">
        <w:rPr>
          <w:rFonts w:hint="eastAsia"/>
          <w:color w:val="C00000"/>
        </w:rPr>
        <w:t>2</w:t>
      </w:r>
      <w:r w:rsidR="00E6324A" w:rsidRPr="00094CA1">
        <w:rPr>
          <w:color w:val="C00000"/>
        </w:rPr>
        <w:t>.69</w:t>
      </w:r>
      <w:r w:rsidR="00953601" w:rsidRPr="00094CA1">
        <w:rPr>
          <w:rFonts w:hint="eastAsia"/>
          <w:color w:val="C00000"/>
        </w:rPr>
        <w:t>亿</w:t>
      </w:r>
      <w:r w:rsidR="004A1201" w:rsidRPr="00094CA1">
        <w:rPr>
          <w:rFonts w:hint="eastAsia"/>
          <w:color w:val="C00000"/>
        </w:rPr>
        <w:t>元</w:t>
      </w:r>
      <w:r w:rsidR="004A1201" w:rsidRPr="00094CA1">
        <w:rPr>
          <w:rFonts w:hint="eastAsia"/>
        </w:rPr>
        <w:t>，</w:t>
      </w:r>
      <w:r w:rsidR="004A1201" w:rsidRPr="000C07B0">
        <w:rPr>
          <w:rFonts w:hint="eastAsia"/>
          <w:b/>
          <w:bCs/>
        </w:rPr>
        <w:t>逐年增加，表</w:t>
      </w:r>
      <w:r w:rsidR="004A1201" w:rsidRPr="000C07B0">
        <w:rPr>
          <w:b/>
          <w:bCs/>
        </w:rPr>
        <w:t>明公司</w:t>
      </w:r>
      <w:r w:rsidR="004A1201" w:rsidRPr="000C07B0">
        <w:rPr>
          <w:rFonts w:hint="eastAsia"/>
          <w:b/>
          <w:bCs/>
        </w:rPr>
        <w:t>面</w:t>
      </w:r>
      <w:r w:rsidR="004A1201" w:rsidRPr="000C07B0">
        <w:rPr>
          <w:b/>
          <w:bCs/>
        </w:rPr>
        <w:t>临更多的坏账风险</w:t>
      </w:r>
      <w:r w:rsidR="004A1201" w:rsidRPr="00094CA1">
        <w:t>。</w:t>
      </w:r>
    </w:p>
    <w:p w14:paraId="59F1BD1A" w14:textId="77777777" w:rsidR="004A1201" w:rsidRPr="00094CA1" w:rsidRDefault="004A1201" w:rsidP="00094CA1">
      <w:pPr>
        <w:pStyle w:val="af"/>
      </w:pPr>
    </w:p>
    <w:p w14:paraId="738C5B18" w14:textId="77777777" w:rsidR="000C07B0" w:rsidRDefault="000C07B0" w:rsidP="00094CA1">
      <w:pPr>
        <w:pStyle w:val="af"/>
        <w:rPr>
          <w:b/>
          <w:bCs/>
        </w:rPr>
      </w:pPr>
    </w:p>
    <w:p w14:paraId="2713F0C0" w14:textId="1882F8B8" w:rsidR="004A1201" w:rsidRPr="00094CA1" w:rsidRDefault="00953601" w:rsidP="00094CA1">
      <w:pPr>
        <w:pStyle w:val="af"/>
      </w:pPr>
      <w:r w:rsidRPr="00F04E02">
        <w:rPr>
          <w:rFonts w:hint="eastAsia"/>
          <w:b/>
          <w:bCs/>
        </w:rPr>
        <w:lastRenderedPageBreak/>
        <w:t>预付款项及其他应收款项</w:t>
      </w:r>
      <w:r w:rsidRPr="00094CA1">
        <w:rPr>
          <w:rFonts w:hint="eastAsia"/>
        </w:rPr>
        <w:t>：</w:t>
      </w:r>
    </w:p>
    <w:p w14:paraId="61E11150" w14:textId="4775FDB3" w:rsidR="00953601" w:rsidRPr="00094CA1" w:rsidRDefault="00953601" w:rsidP="00094CA1">
      <w:pPr>
        <w:pStyle w:val="af"/>
      </w:pPr>
      <w:r w:rsidRPr="00094CA1">
        <w:t>流动资产的</w:t>
      </w:r>
      <w:r w:rsidRPr="00094CA1">
        <w:rPr>
          <w:rFonts w:hint="eastAsia"/>
        </w:rPr>
        <w:t>预付款项及其他应收款项</w:t>
      </w:r>
      <w:r w:rsidRPr="00094CA1">
        <w:t>从2021年的</w:t>
      </w:r>
      <w:r w:rsidRPr="00094CA1">
        <w:rPr>
          <w:color w:val="C00000"/>
        </w:rPr>
        <w:t>5</w:t>
      </w:r>
      <w:r w:rsidR="00E6324A" w:rsidRPr="00094CA1">
        <w:rPr>
          <w:color w:val="C00000"/>
        </w:rPr>
        <w:t>.36</w:t>
      </w:r>
      <w:r w:rsidRPr="00094CA1">
        <w:rPr>
          <w:color w:val="C00000"/>
        </w:rPr>
        <w:t>亿元</w:t>
      </w:r>
      <w:r w:rsidRPr="00094CA1">
        <w:t>增加到2022年的</w:t>
      </w:r>
      <w:r w:rsidRPr="00094CA1">
        <w:rPr>
          <w:color w:val="C00000"/>
        </w:rPr>
        <w:t>15</w:t>
      </w:r>
      <w:r w:rsidR="00E6324A" w:rsidRPr="00094CA1">
        <w:rPr>
          <w:color w:val="C00000"/>
        </w:rPr>
        <w:t>.14</w:t>
      </w:r>
      <w:r w:rsidRPr="00094CA1">
        <w:rPr>
          <w:color w:val="C00000"/>
        </w:rPr>
        <w:t>亿元</w:t>
      </w:r>
      <w:r w:rsidRPr="00094CA1">
        <w:t>，</w:t>
      </w:r>
      <w:r w:rsidRPr="007D0001">
        <w:rPr>
          <w:b/>
          <w:bCs/>
        </w:rPr>
        <w:t>这主要是因为业务量增长以及对物业经纪服务业务的投资增加所致</w:t>
      </w:r>
      <w:r w:rsidRPr="00094CA1">
        <w:t>。而在2023年又有了下降的趋势，为</w:t>
      </w:r>
      <w:r w:rsidRPr="00094CA1">
        <w:rPr>
          <w:color w:val="C00000"/>
        </w:rPr>
        <w:t>8</w:t>
      </w:r>
      <w:r w:rsidR="00E6324A" w:rsidRPr="00094CA1">
        <w:rPr>
          <w:color w:val="C00000"/>
        </w:rPr>
        <w:t>.8</w:t>
      </w:r>
      <w:r w:rsidRPr="00094CA1">
        <w:rPr>
          <w:color w:val="C00000"/>
        </w:rPr>
        <w:t>51亿元</w:t>
      </w:r>
      <w:r w:rsidRPr="00094CA1">
        <w:t>。</w:t>
      </w:r>
    </w:p>
    <w:p w14:paraId="18016D1F" w14:textId="3DAA8AFF" w:rsidR="002132F8" w:rsidRPr="00094CA1" w:rsidRDefault="002132F8" w:rsidP="00094CA1">
      <w:pPr>
        <w:pStyle w:val="af"/>
      </w:pPr>
    </w:p>
    <w:p w14:paraId="038B4761" w14:textId="77777777" w:rsidR="002132F8" w:rsidRPr="00094CA1" w:rsidRDefault="002132F8" w:rsidP="00094CA1">
      <w:pPr>
        <w:pStyle w:val="af"/>
      </w:pPr>
      <w:r w:rsidRPr="007D0001">
        <w:rPr>
          <w:b/>
          <w:bCs/>
        </w:rPr>
        <w:t>贸易应付款项及应付票据(万元)</w:t>
      </w:r>
      <w:r w:rsidRPr="00094CA1">
        <w:t>：</w:t>
      </w:r>
    </w:p>
    <w:p w14:paraId="583EF63A" w14:textId="1C181EED" w:rsidR="002132F8" w:rsidRPr="0045493D" w:rsidRDefault="002132F8" w:rsidP="00094CA1">
      <w:pPr>
        <w:pStyle w:val="af"/>
        <w:rPr>
          <w:b/>
          <w:bCs/>
        </w:rPr>
      </w:pPr>
      <w:r w:rsidRPr="00094CA1">
        <w:t>2021年、2022年和2023年公司贸易应付款项逐年增加。2021年到2022年：贸易应付款项从</w:t>
      </w:r>
      <w:r w:rsidRPr="00094CA1">
        <w:rPr>
          <w:color w:val="C00000"/>
        </w:rPr>
        <w:t>5.86亿元</w:t>
      </w:r>
      <w:r w:rsidRPr="00094CA1">
        <w:t>增加到</w:t>
      </w:r>
      <w:r w:rsidRPr="00094CA1">
        <w:rPr>
          <w:color w:val="C00000"/>
        </w:rPr>
        <w:t>10.02亿元</w:t>
      </w:r>
      <w:r w:rsidRPr="00094CA1">
        <w:t>。2022年到2023年：贸易应付款项从</w:t>
      </w:r>
      <w:r w:rsidRPr="00094CA1">
        <w:rPr>
          <w:color w:val="C00000"/>
        </w:rPr>
        <w:t>10.02亿元</w:t>
      </w:r>
      <w:r w:rsidRPr="00094CA1">
        <w:t>增加到</w:t>
      </w:r>
      <w:r w:rsidRPr="00094CA1">
        <w:rPr>
          <w:color w:val="C00000"/>
        </w:rPr>
        <w:t>11.5</w:t>
      </w:r>
      <w:r w:rsidRPr="00094CA1">
        <w:t>亿元，</w:t>
      </w:r>
      <w:r w:rsidRPr="0045493D">
        <w:rPr>
          <w:b/>
          <w:bCs/>
        </w:rPr>
        <w:t>继续增长的主要原因是业务扩张和分包成本增加。</w:t>
      </w:r>
    </w:p>
    <w:p w14:paraId="1D8B6757" w14:textId="6FB0105C" w:rsidR="004A1201" w:rsidRPr="00094CA1" w:rsidRDefault="002132F8" w:rsidP="00094CA1">
      <w:pPr>
        <w:pStyle w:val="af"/>
      </w:pPr>
      <w:r w:rsidRPr="00094CA1">
        <w:rPr>
          <w:noProof/>
        </w:rPr>
        <w:drawing>
          <wp:inline distT="0" distB="0" distL="0" distR="0" wp14:anchorId="50707A01" wp14:editId="343A64CF">
            <wp:extent cx="5274310" cy="403860"/>
            <wp:effectExtent l="0" t="0" r="0" b="2540"/>
            <wp:docPr id="8838957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95746" name="图片 883895746"/>
                    <pic:cNvPicPr/>
                  </pic:nvPicPr>
                  <pic:blipFill>
                    <a:blip r:embed="rId10">
                      <a:extLst>
                        <a:ext uri="{28A0092B-C50C-407E-A947-70E740481C1C}">
                          <a14:useLocalDpi xmlns:a14="http://schemas.microsoft.com/office/drawing/2010/main" val="0"/>
                        </a:ext>
                      </a:extLst>
                    </a:blip>
                    <a:stretch>
                      <a:fillRect/>
                    </a:stretch>
                  </pic:blipFill>
                  <pic:spPr>
                    <a:xfrm>
                      <a:off x="0" y="0"/>
                      <a:ext cx="5274310" cy="403860"/>
                    </a:xfrm>
                    <a:prstGeom prst="rect">
                      <a:avLst/>
                    </a:prstGeom>
                  </pic:spPr>
                </pic:pic>
              </a:graphicData>
            </a:graphic>
          </wp:inline>
        </w:drawing>
      </w:r>
    </w:p>
    <w:p w14:paraId="2A801884" w14:textId="77777777" w:rsidR="003457C1" w:rsidRPr="00094CA1" w:rsidRDefault="003457C1" w:rsidP="00094CA1">
      <w:pPr>
        <w:pStyle w:val="af"/>
      </w:pPr>
    </w:p>
    <w:p w14:paraId="122AEFB6" w14:textId="324B2035" w:rsidR="00895560" w:rsidRPr="005E7EA7" w:rsidRDefault="00895560" w:rsidP="00094CA1">
      <w:pPr>
        <w:pStyle w:val="af"/>
        <w:rPr>
          <w:b/>
          <w:bCs/>
        </w:rPr>
      </w:pPr>
      <w:r w:rsidRPr="005E7EA7">
        <w:rPr>
          <w:rFonts w:hint="eastAsia"/>
          <w:b/>
          <w:bCs/>
        </w:rPr>
        <w:t>类现金：</w:t>
      </w:r>
    </w:p>
    <w:p w14:paraId="0F393EBF" w14:textId="799AC989" w:rsidR="003457C1" w:rsidRPr="00094CA1" w:rsidRDefault="00895560" w:rsidP="00094CA1">
      <w:pPr>
        <w:pStyle w:val="af"/>
      </w:pPr>
      <w:r w:rsidRPr="00094CA1">
        <w:rPr>
          <w:noProof/>
        </w:rPr>
        <w:drawing>
          <wp:inline distT="0" distB="0" distL="0" distR="0" wp14:anchorId="42329643" wp14:editId="3E70FDE9">
            <wp:extent cx="5011552" cy="856175"/>
            <wp:effectExtent l="0" t="0" r="5080" b="0"/>
            <wp:docPr id="714387317" name="图片 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87317" name="图片 7" descr="表格&#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4713" cy="861840"/>
                    </a:xfrm>
                    <a:prstGeom prst="rect">
                      <a:avLst/>
                    </a:prstGeom>
                  </pic:spPr>
                </pic:pic>
              </a:graphicData>
            </a:graphic>
          </wp:inline>
        </w:drawing>
      </w:r>
    </w:p>
    <w:p w14:paraId="2228E11B" w14:textId="55E563C6" w:rsidR="003457C1" w:rsidRPr="00094CA1" w:rsidRDefault="005C4DEB" w:rsidP="00094CA1">
      <w:pPr>
        <w:pStyle w:val="af"/>
      </w:pPr>
      <w:r w:rsidRPr="0045493D">
        <w:rPr>
          <w:b/>
          <w:bCs/>
        </w:rPr>
        <w:t>公司的类现金资产在2021年至2022年间显著减少，但在2023年有所回升</w:t>
      </w:r>
      <w:r w:rsidRPr="00094CA1">
        <w:t>。</w:t>
      </w:r>
      <w:r w:rsidR="00895560" w:rsidRPr="00094CA1">
        <w:t>2023年</w:t>
      </w:r>
      <w:r w:rsidRPr="00094CA1">
        <w:rPr>
          <w:rFonts w:hint="eastAsia"/>
        </w:rPr>
        <w:t>的</w:t>
      </w:r>
      <w:r w:rsidR="00895560" w:rsidRPr="00094CA1">
        <w:t>类现金资产总额为23.46</w:t>
      </w:r>
      <w:r w:rsidR="00895560" w:rsidRPr="00094CA1">
        <w:rPr>
          <w:rFonts w:hint="eastAsia"/>
        </w:rPr>
        <w:t>亿</w:t>
      </w:r>
      <w:r w:rsidR="00895560" w:rsidRPr="00094CA1">
        <w:t>元，比2022年增加了7.9</w:t>
      </w:r>
      <w:r w:rsidRPr="00094CA1">
        <w:rPr>
          <w:rFonts w:hint="eastAsia"/>
        </w:rPr>
        <w:t>亿</w:t>
      </w:r>
      <w:r w:rsidR="00895560" w:rsidRPr="00094CA1">
        <w:t>（52%），但比2021年减少了16</w:t>
      </w:r>
      <w:r w:rsidRPr="00094CA1">
        <w:t>.39</w:t>
      </w:r>
      <w:r w:rsidRPr="00094CA1">
        <w:rPr>
          <w:rFonts w:hint="eastAsia"/>
        </w:rPr>
        <w:t>亿</w:t>
      </w:r>
      <w:r w:rsidR="00895560" w:rsidRPr="00094CA1">
        <w:t>（-41%）。</w:t>
      </w:r>
    </w:p>
    <w:p w14:paraId="155099BC" w14:textId="77777777" w:rsidR="003457C1" w:rsidRPr="00094CA1" w:rsidRDefault="003457C1" w:rsidP="00094CA1">
      <w:pPr>
        <w:pStyle w:val="af"/>
      </w:pPr>
    </w:p>
    <w:p w14:paraId="04955A27" w14:textId="77777777" w:rsidR="005C4DEB" w:rsidRPr="00094CA1" w:rsidRDefault="005C4DEB" w:rsidP="00094CA1">
      <w:pPr>
        <w:pStyle w:val="af"/>
      </w:pPr>
    </w:p>
    <w:p w14:paraId="6F58CC86" w14:textId="1B2D60EA" w:rsidR="005C4DEB" w:rsidRPr="0045493D" w:rsidRDefault="00CF3809" w:rsidP="00094CA1">
      <w:pPr>
        <w:pStyle w:val="af"/>
        <w:rPr>
          <w:b/>
          <w:bCs/>
        </w:rPr>
      </w:pPr>
      <w:r w:rsidRPr="0045493D">
        <w:rPr>
          <w:rFonts w:hint="eastAsia"/>
          <w:b/>
          <w:bCs/>
        </w:rPr>
        <w:t>2.</w:t>
      </w:r>
      <w:r w:rsidR="005C4DEB" w:rsidRPr="0045493D">
        <w:rPr>
          <w:rFonts w:hint="eastAsia"/>
          <w:b/>
          <w:bCs/>
        </w:rPr>
        <w:t>利润表</w:t>
      </w:r>
    </w:p>
    <w:p w14:paraId="3A323BEE" w14:textId="62EF6783" w:rsidR="006B0FF9" w:rsidRPr="00094CA1" w:rsidRDefault="006B0FF9" w:rsidP="00094CA1">
      <w:pPr>
        <w:pStyle w:val="af"/>
      </w:pPr>
      <w:r w:rsidRPr="00094CA1">
        <w:rPr>
          <w:rFonts w:hint="eastAsia"/>
          <w:noProof/>
        </w:rPr>
        <w:drawing>
          <wp:inline distT="0" distB="0" distL="0" distR="0" wp14:anchorId="1562FD5C" wp14:editId="24ED4B5D">
            <wp:extent cx="5613617" cy="3629319"/>
            <wp:effectExtent l="0" t="0" r="0" b="3175"/>
            <wp:docPr id="1272942182"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42182" name="图片 1" descr="表格&#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21248" cy="3634252"/>
                    </a:xfrm>
                    <a:prstGeom prst="rect">
                      <a:avLst/>
                    </a:prstGeom>
                  </pic:spPr>
                </pic:pic>
              </a:graphicData>
            </a:graphic>
          </wp:inline>
        </w:drawing>
      </w:r>
    </w:p>
    <w:p w14:paraId="03978FE1" w14:textId="68775273" w:rsidR="00460529" w:rsidRDefault="00B21AD5" w:rsidP="00094CA1">
      <w:pPr>
        <w:pStyle w:val="af"/>
      </w:pPr>
      <w:r w:rsidRPr="00094CA1">
        <w:rPr>
          <w:rFonts w:hint="eastAsia"/>
        </w:rPr>
        <w:lastRenderedPageBreak/>
        <w:t>2019-2023年营业收入分别为</w:t>
      </w:r>
      <w:r w:rsidR="006877E3" w:rsidRPr="00094CA1">
        <w:rPr>
          <w:rFonts w:hint="eastAsia"/>
        </w:rPr>
        <w:t>18.</w:t>
      </w:r>
      <w:r w:rsidR="00D807CD" w:rsidRPr="00094CA1">
        <w:rPr>
          <w:rFonts w:hint="eastAsia"/>
        </w:rPr>
        <w:t>78亿，31.19亿，47.03亿，62.76亿，65.37亿</w:t>
      </w:r>
      <w:r w:rsidR="009A6D36" w:rsidRPr="00094CA1">
        <w:rPr>
          <w:rFonts w:hint="eastAsia"/>
        </w:rPr>
        <w:t>，</w:t>
      </w:r>
    </w:p>
    <w:p w14:paraId="0CBC0612" w14:textId="1CF1CECF" w:rsidR="0001258C" w:rsidRPr="00094CA1" w:rsidRDefault="009A6D36" w:rsidP="00094CA1">
      <w:pPr>
        <w:pStyle w:val="af"/>
      </w:pPr>
      <w:r w:rsidRPr="00094CA1">
        <w:t>2020-2023 年每年收入增速分别为</w:t>
      </w:r>
      <w:r w:rsidR="0001258C" w:rsidRPr="00094CA1">
        <w:rPr>
          <w:rFonts w:hint="eastAsia"/>
        </w:rPr>
        <w:t>66.1%，50.8%</w:t>
      </w:r>
      <w:r w:rsidR="00D73F38" w:rsidRPr="00094CA1">
        <w:rPr>
          <w:rFonts w:hint="eastAsia"/>
        </w:rPr>
        <w:t>，33.5%</w:t>
      </w:r>
      <w:r w:rsidR="00483367" w:rsidRPr="00094CA1">
        <w:rPr>
          <w:rFonts w:hint="eastAsia"/>
        </w:rPr>
        <w:t>，</w:t>
      </w:r>
      <w:r w:rsidR="00AC773D" w:rsidRPr="00094CA1">
        <w:rPr>
          <w:rFonts w:hint="eastAsia"/>
        </w:rPr>
        <w:t>4.2%</w:t>
      </w:r>
      <w:r w:rsidR="001F2CC3" w:rsidRPr="00094CA1">
        <w:rPr>
          <w:rFonts w:hint="eastAsia"/>
        </w:rPr>
        <w:t>。</w:t>
      </w:r>
    </w:p>
    <w:p w14:paraId="7B64B26A" w14:textId="33A7703E" w:rsidR="00275CA6" w:rsidRPr="00094CA1" w:rsidRDefault="00275CA6" w:rsidP="00094CA1">
      <w:pPr>
        <w:pStyle w:val="af"/>
        <w:rPr>
          <w:b/>
          <w:bCs/>
        </w:rPr>
      </w:pPr>
      <w:r w:rsidRPr="00094CA1">
        <w:rPr>
          <w:rFonts w:hint="eastAsia"/>
        </w:rPr>
        <w:t>2019-2023毛利率分别为29.58%，</w:t>
      </w:r>
      <w:r w:rsidRPr="00094CA1">
        <w:t>31.40%</w:t>
      </w:r>
      <w:r w:rsidRPr="00094CA1">
        <w:rPr>
          <w:rFonts w:hint="eastAsia"/>
        </w:rPr>
        <w:t>，</w:t>
      </w:r>
      <w:r w:rsidRPr="00094CA1">
        <w:t>27.64%</w:t>
      </w:r>
      <w:r w:rsidRPr="00094CA1">
        <w:rPr>
          <w:rFonts w:hint="eastAsia"/>
        </w:rPr>
        <w:t>，</w:t>
      </w:r>
      <w:r w:rsidRPr="00094CA1">
        <w:t>20.61%</w:t>
      </w:r>
      <w:r w:rsidRPr="00094CA1">
        <w:rPr>
          <w:rFonts w:hint="eastAsia"/>
        </w:rPr>
        <w:t>，</w:t>
      </w:r>
      <w:r w:rsidRPr="00094CA1">
        <w:t>19.17%</w:t>
      </w:r>
      <w:r w:rsidRPr="00094CA1">
        <w:rPr>
          <w:rFonts w:hint="eastAsia"/>
        </w:rPr>
        <w:t>。</w:t>
      </w:r>
    </w:p>
    <w:p w14:paraId="5B8AD899" w14:textId="3684994E" w:rsidR="00770169" w:rsidRPr="00094CA1" w:rsidRDefault="004C7F2F" w:rsidP="00094CA1">
      <w:pPr>
        <w:pStyle w:val="af"/>
        <w:rPr>
          <w:rFonts w:cs="宋体"/>
          <w:color w:val="000000"/>
          <w:kern w:val="0"/>
          <w14:ligatures w14:val="none"/>
        </w:rPr>
      </w:pPr>
      <w:r w:rsidRPr="00094CA1">
        <w:rPr>
          <w:rFonts w:cs="宋体" w:hint="eastAsia"/>
          <w:color w:val="000000"/>
          <w:kern w:val="0"/>
          <w14:ligatures w14:val="none"/>
        </w:rPr>
        <w:t xml:space="preserve">2019-2023 </w:t>
      </w:r>
      <w:r w:rsidR="00770169" w:rsidRPr="00094CA1">
        <w:rPr>
          <w:rFonts w:cs="宋体" w:hint="eastAsia"/>
          <w:color w:val="000000"/>
          <w:kern w:val="0"/>
          <w14:ligatures w14:val="none"/>
        </w:rPr>
        <w:t>每股盈利分别为0.25，0.27，0.37，0.24，0.15</w:t>
      </w:r>
    </w:p>
    <w:p w14:paraId="7EB3AF39" w14:textId="77777777" w:rsidR="00F3541A" w:rsidRPr="00094CA1" w:rsidRDefault="00F3541A" w:rsidP="00094CA1">
      <w:pPr>
        <w:pStyle w:val="af"/>
        <w:rPr>
          <w:rFonts w:cs="宋体"/>
          <w:color w:val="000000"/>
          <w:kern w:val="0"/>
          <w14:ligatures w14:val="none"/>
        </w:rPr>
      </w:pPr>
    </w:p>
    <w:p w14:paraId="579B52D7" w14:textId="2AD93FBE" w:rsidR="00F3541A" w:rsidRPr="00094CA1" w:rsidRDefault="00F3541A" w:rsidP="00094CA1">
      <w:pPr>
        <w:pStyle w:val="af"/>
        <w:rPr>
          <w:rFonts w:cs="宋体"/>
          <w:color w:val="000000"/>
          <w:kern w:val="0"/>
          <w14:ligatures w14:val="none"/>
        </w:rPr>
      </w:pPr>
      <w:r w:rsidRPr="00094CA1">
        <w:rPr>
          <w:rFonts w:cs="宋体" w:hint="eastAsia"/>
          <w:color w:val="000000"/>
          <w:kern w:val="0"/>
          <w14:ligatures w14:val="none"/>
        </w:rPr>
        <w:t>根据不同</w:t>
      </w:r>
      <w:r w:rsidR="009F42A6" w:rsidRPr="00094CA1">
        <w:rPr>
          <w:rFonts w:cs="宋体" w:hint="eastAsia"/>
          <w:color w:val="000000"/>
          <w:kern w:val="0"/>
          <w14:ligatures w14:val="none"/>
        </w:rPr>
        <w:t>业务来分，</w:t>
      </w:r>
      <w:r w:rsidR="00BF22A4" w:rsidRPr="00FE12F2">
        <w:rPr>
          <w:rFonts w:cs="宋体"/>
          <w:b/>
          <w:bCs/>
          <w:color w:val="000000"/>
          <w:kern w:val="0"/>
          <w14:ligatures w14:val="none"/>
        </w:rPr>
        <w:t>物业管理服务的收入逐年增长</w:t>
      </w:r>
      <w:r w:rsidR="00BF22A4" w:rsidRPr="00094CA1">
        <w:rPr>
          <w:rFonts w:cs="宋体"/>
          <w:color w:val="000000"/>
          <w:kern w:val="0"/>
          <w14:ligatures w14:val="none"/>
        </w:rPr>
        <w:t>，从2015年的约2</w:t>
      </w:r>
      <w:r w:rsidR="006844C3" w:rsidRPr="00094CA1">
        <w:rPr>
          <w:rFonts w:cs="宋体"/>
          <w:color w:val="000000"/>
          <w:kern w:val="0"/>
          <w14:ligatures w14:val="none"/>
        </w:rPr>
        <w:t>.1</w:t>
      </w:r>
      <w:r w:rsidR="00BF22A4" w:rsidRPr="00094CA1">
        <w:rPr>
          <w:rFonts w:cs="宋体"/>
          <w:color w:val="000000"/>
          <w:kern w:val="0"/>
          <w14:ligatures w14:val="none"/>
        </w:rPr>
        <w:t>亿元增长至2023年的约44</w:t>
      </w:r>
      <w:r w:rsidR="006844C3" w:rsidRPr="00094CA1">
        <w:rPr>
          <w:rFonts w:cs="宋体"/>
          <w:color w:val="000000"/>
          <w:kern w:val="0"/>
          <w14:ligatures w14:val="none"/>
        </w:rPr>
        <w:t>.6</w:t>
      </w:r>
      <w:r w:rsidR="00BF22A4" w:rsidRPr="00094CA1">
        <w:rPr>
          <w:rFonts w:cs="宋体"/>
          <w:color w:val="000000"/>
          <w:kern w:val="0"/>
          <w14:ligatures w14:val="none"/>
        </w:rPr>
        <w:t>亿元。除了2023年的增长率下降到14.80%。总体而言，这部分收入显示出较高的稳定性。</w:t>
      </w:r>
      <w:r w:rsidR="007C3F14" w:rsidRPr="003B301C">
        <w:rPr>
          <w:rFonts w:cs="宋体"/>
          <w:b/>
          <w:bCs/>
          <w:color w:val="000000"/>
          <w:kern w:val="0"/>
          <w14:ligatures w14:val="none"/>
        </w:rPr>
        <w:t>社区增值服务</w:t>
      </w:r>
      <w:r w:rsidR="00F90CC2" w:rsidRPr="003B301C">
        <w:rPr>
          <w:rFonts w:cs="宋体"/>
          <w:b/>
          <w:bCs/>
          <w:color w:val="000000"/>
          <w:kern w:val="0"/>
          <w14:ligatures w14:val="none"/>
        </w:rPr>
        <w:t>收入增长率在早期较高（如20年63%），但近两年收入出现负增长，显示出较大的波动性和不稳定性。</w:t>
      </w:r>
      <w:r w:rsidR="009A63B4" w:rsidRPr="003B301C">
        <w:rPr>
          <w:rFonts w:cs="宋体"/>
          <w:b/>
          <w:bCs/>
          <w:color w:val="000000"/>
          <w:kern w:val="0"/>
          <w14:ligatures w14:val="none"/>
        </w:rPr>
        <w:t>非业主增值服务</w:t>
      </w:r>
      <w:r w:rsidR="001A272C" w:rsidRPr="003B301C">
        <w:rPr>
          <w:rFonts w:cs="宋体"/>
          <w:b/>
          <w:bCs/>
          <w:color w:val="000000"/>
          <w:kern w:val="0"/>
          <w14:ligatures w14:val="none"/>
        </w:rPr>
        <w:t>的增长率显示出明显的波动性，尤其是2023年的负增长</w:t>
      </w:r>
      <w:r w:rsidR="001A272C" w:rsidRPr="00094CA1">
        <w:rPr>
          <w:rFonts w:cs="宋体"/>
          <w:color w:val="000000"/>
          <w:kern w:val="0"/>
          <w14:ligatures w14:val="none"/>
        </w:rPr>
        <w:t>。</w:t>
      </w:r>
    </w:p>
    <w:p w14:paraId="562C428C" w14:textId="157FD4A2" w:rsidR="00155260" w:rsidRPr="00094CA1" w:rsidRDefault="00FE12F2" w:rsidP="00094CA1">
      <w:pPr>
        <w:pStyle w:val="af"/>
        <w:rPr>
          <w:rFonts w:cs="宋体"/>
          <w:kern w:val="0"/>
          <w14:ligatures w14:val="none"/>
        </w:rPr>
      </w:pPr>
      <w:r w:rsidRPr="00094CA1">
        <w:rPr>
          <w:rFonts w:hint="eastAsia"/>
          <w:b/>
          <w:bCs/>
          <w:noProof/>
        </w:rPr>
        <w:drawing>
          <wp:anchor distT="0" distB="0" distL="114300" distR="114300" simplePos="0" relativeHeight="251658240" behindDoc="0" locked="0" layoutInCell="1" allowOverlap="1" wp14:anchorId="3F776BBC" wp14:editId="43015381">
            <wp:simplePos x="0" y="0"/>
            <wp:positionH relativeFrom="column">
              <wp:posOffset>0</wp:posOffset>
            </wp:positionH>
            <wp:positionV relativeFrom="paragraph">
              <wp:posOffset>174625</wp:posOffset>
            </wp:positionV>
            <wp:extent cx="5274310" cy="1111250"/>
            <wp:effectExtent l="0" t="0" r="0" b="6350"/>
            <wp:wrapSquare wrapText="bothSides"/>
            <wp:docPr id="728277211"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7211" name="图片 1" descr="日历&#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111250"/>
                    </a:xfrm>
                    <a:prstGeom prst="rect">
                      <a:avLst/>
                    </a:prstGeom>
                  </pic:spPr>
                </pic:pic>
              </a:graphicData>
            </a:graphic>
          </wp:anchor>
        </w:drawing>
      </w:r>
    </w:p>
    <w:p w14:paraId="1EB722B1" w14:textId="3865D004" w:rsidR="00A574AD" w:rsidRPr="00094CA1" w:rsidRDefault="00A574AD" w:rsidP="00094CA1">
      <w:pPr>
        <w:pStyle w:val="af"/>
        <w:rPr>
          <w:b/>
          <w:bCs/>
        </w:rPr>
      </w:pPr>
    </w:p>
    <w:p w14:paraId="3F67382D" w14:textId="77777777" w:rsidR="00CA14DF" w:rsidRPr="00094CA1" w:rsidRDefault="00CA14DF" w:rsidP="00094CA1">
      <w:pPr>
        <w:pStyle w:val="af"/>
        <w:rPr>
          <w:b/>
          <w:bCs/>
        </w:rPr>
      </w:pPr>
    </w:p>
    <w:p w14:paraId="70B36657" w14:textId="77777777" w:rsidR="00CA14DF" w:rsidRPr="00094CA1" w:rsidRDefault="00CA14DF" w:rsidP="00094CA1">
      <w:pPr>
        <w:pStyle w:val="af"/>
        <w:rPr>
          <w:b/>
          <w:bCs/>
        </w:rPr>
      </w:pPr>
      <w:r w:rsidRPr="00094CA1">
        <w:rPr>
          <w:rFonts w:hint="eastAsia"/>
          <w:b/>
          <w:bCs/>
        </w:rPr>
        <w:t>3、现金流量表</w:t>
      </w:r>
    </w:p>
    <w:p w14:paraId="32107AE0" w14:textId="77777777" w:rsidR="00546D57" w:rsidRDefault="00CC4FCF" w:rsidP="0006665F">
      <w:pPr>
        <w:pStyle w:val="af"/>
        <w:rPr>
          <w:rStyle w:val="af0"/>
          <w:b w:val="0"/>
          <w:bCs w:val="0"/>
        </w:rPr>
      </w:pPr>
      <w:bookmarkStart w:id="0" w:name="OLE_LINK5"/>
      <w:bookmarkStart w:id="1" w:name="OLE_LINK6"/>
      <w:r w:rsidRPr="0006665F">
        <w:rPr>
          <w:rStyle w:val="af0"/>
          <w:rFonts w:hint="eastAsia"/>
          <w:b w:val="0"/>
          <w:bCs w:val="0"/>
        </w:rPr>
        <w:t>20</w:t>
      </w:r>
      <w:r w:rsidR="00777ADE" w:rsidRPr="0006665F">
        <w:rPr>
          <w:rStyle w:val="af0"/>
          <w:rFonts w:hint="eastAsia"/>
          <w:b w:val="0"/>
          <w:bCs w:val="0"/>
        </w:rPr>
        <w:t>21</w:t>
      </w:r>
      <w:r w:rsidRPr="0006665F">
        <w:rPr>
          <w:rStyle w:val="af0"/>
          <w:rFonts w:hint="eastAsia"/>
          <w:b w:val="0"/>
          <w:bCs w:val="0"/>
        </w:rPr>
        <w:t>-2023 年经营活动现金流量净额分别为</w:t>
      </w:r>
      <w:r w:rsidR="00A71D5F" w:rsidRPr="0006665F">
        <w:rPr>
          <w:rStyle w:val="af0"/>
          <w:rFonts w:hint="eastAsia"/>
          <w:b w:val="0"/>
          <w:bCs w:val="0"/>
        </w:rPr>
        <w:t>8.37</w:t>
      </w:r>
      <w:r w:rsidRPr="0006665F">
        <w:rPr>
          <w:rStyle w:val="af0"/>
          <w:rFonts w:hint="eastAsia"/>
          <w:b w:val="0"/>
          <w:bCs w:val="0"/>
        </w:rPr>
        <w:t>、</w:t>
      </w:r>
      <w:r w:rsidR="00777ADE" w:rsidRPr="0006665F">
        <w:rPr>
          <w:rStyle w:val="af0"/>
          <w:rFonts w:hint="eastAsia"/>
          <w:b w:val="0"/>
          <w:bCs w:val="0"/>
        </w:rPr>
        <w:t>-10.19</w:t>
      </w:r>
      <w:r w:rsidRPr="0006665F">
        <w:rPr>
          <w:rStyle w:val="af0"/>
          <w:rFonts w:hint="eastAsia"/>
          <w:b w:val="0"/>
          <w:bCs w:val="0"/>
        </w:rPr>
        <w:t>、9.</w:t>
      </w:r>
      <w:r w:rsidR="00777ADE" w:rsidRPr="0006665F">
        <w:rPr>
          <w:rStyle w:val="af0"/>
          <w:rFonts w:hint="eastAsia"/>
          <w:b w:val="0"/>
          <w:bCs w:val="0"/>
        </w:rPr>
        <w:t>13</w:t>
      </w:r>
      <w:r w:rsidRPr="0006665F">
        <w:rPr>
          <w:rStyle w:val="af0"/>
          <w:rFonts w:hint="eastAsia"/>
          <w:b w:val="0"/>
          <w:bCs w:val="0"/>
        </w:rPr>
        <w:t>亿，</w:t>
      </w:r>
    </w:p>
    <w:p w14:paraId="1004310D" w14:textId="7518A0CD" w:rsidR="00CC4FCF" w:rsidRPr="0006665F" w:rsidRDefault="00CC4FCF" w:rsidP="0006665F">
      <w:pPr>
        <w:pStyle w:val="af"/>
        <w:rPr>
          <w:rStyle w:val="af0"/>
          <w:b w:val="0"/>
          <w:bCs w:val="0"/>
        </w:rPr>
      </w:pPr>
      <w:r w:rsidRPr="0006665F">
        <w:rPr>
          <w:rStyle w:val="af0"/>
          <w:rFonts w:hint="eastAsia"/>
          <w:b w:val="0"/>
          <w:bCs w:val="0"/>
        </w:rPr>
        <w:t>净现比 分别为</w:t>
      </w:r>
      <w:r w:rsidR="00082E92" w:rsidRPr="0006665F">
        <w:rPr>
          <w:rStyle w:val="af0"/>
          <w:rFonts w:hint="eastAsia"/>
          <w:b w:val="0"/>
          <w:bCs w:val="0"/>
        </w:rPr>
        <w:t>1.35</w:t>
      </w:r>
      <w:r w:rsidR="0006665F" w:rsidRPr="0006665F">
        <w:rPr>
          <w:rStyle w:val="af0"/>
          <w:b w:val="0"/>
          <w:bCs w:val="0"/>
        </w:rPr>
        <w:t xml:space="preserve">, </w:t>
      </w:r>
      <w:r w:rsidR="00082E92" w:rsidRPr="0006665F">
        <w:rPr>
          <w:rStyle w:val="af0"/>
          <w:rFonts w:hint="eastAsia"/>
          <w:b w:val="0"/>
          <w:bCs w:val="0"/>
        </w:rPr>
        <w:t>-2.</w:t>
      </w:r>
      <w:r w:rsidR="0006665F" w:rsidRPr="0006665F">
        <w:rPr>
          <w:rStyle w:val="af0"/>
          <w:b w:val="0"/>
          <w:bCs w:val="0"/>
        </w:rPr>
        <w:t xml:space="preserve">1, </w:t>
      </w:r>
      <w:r w:rsidR="00082E92" w:rsidRPr="0006665F">
        <w:rPr>
          <w:rStyle w:val="af0"/>
          <w:rFonts w:hint="eastAsia"/>
          <w:b w:val="0"/>
          <w:bCs w:val="0"/>
        </w:rPr>
        <w:t>2.1.</w:t>
      </w:r>
    </w:p>
    <w:bookmarkEnd w:id="0"/>
    <w:bookmarkEnd w:id="1"/>
    <w:p w14:paraId="1E2AF2DA" w14:textId="4A682D7C" w:rsidR="00CA14DF" w:rsidRPr="0006665F" w:rsidRDefault="0027734A" w:rsidP="0006665F">
      <w:pPr>
        <w:pStyle w:val="af"/>
        <w:rPr>
          <w:rStyle w:val="af0"/>
          <w:b w:val="0"/>
          <w:bCs w:val="0"/>
        </w:rPr>
      </w:pPr>
      <w:r w:rsidRPr="0006665F">
        <w:rPr>
          <w:rStyle w:val="af0"/>
          <w:b w:val="0"/>
          <w:bCs w:val="0"/>
        </w:rPr>
        <w:t>22年净现比为负，表明公司在这一年的净利润为正，而经营活动现金流量为负。</w:t>
      </w:r>
      <w:r w:rsidRPr="0006665F">
        <w:rPr>
          <w:rStyle w:val="af0"/>
        </w:rPr>
        <w:t>这意味着公司的盈利</w:t>
      </w:r>
      <w:r w:rsidR="00D45DFC" w:rsidRPr="0006665F">
        <w:rPr>
          <w:rStyle w:val="af0"/>
          <w:rFonts w:hint="eastAsia"/>
        </w:rPr>
        <w:t>能力很低</w:t>
      </w:r>
      <w:r w:rsidR="00BA22DB" w:rsidRPr="0006665F">
        <w:rPr>
          <w:rStyle w:val="af0"/>
          <w:rFonts w:hint="eastAsia"/>
        </w:rPr>
        <w:t>，</w:t>
      </w:r>
      <w:r w:rsidRPr="0006665F">
        <w:rPr>
          <w:rStyle w:val="af0"/>
        </w:rPr>
        <w:t>存在虚增利润的风险</w:t>
      </w:r>
      <w:r w:rsidR="00914CEA" w:rsidRPr="0006665F">
        <w:rPr>
          <w:rStyle w:val="af0"/>
          <w:rFonts w:hint="eastAsia"/>
        </w:rPr>
        <w:t>。</w:t>
      </w:r>
      <w:r w:rsidR="004A3135" w:rsidRPr="0006665F">
        <w:rPr>
          <w:rStyle w:val="af0"/>
          <w:rFonts w:hint="eastAsia"/>
        </w:rPr>
        <w:t>同时</w:t>
      </w:r>
      <w:r w:rsidR="004A3135" w:rsidRPr="0006665F">
        <w:rPr>
          <w:rStyle w:val="af0"/>
        </w:rPr>
        <w:t>大量应收账款未能及时回收。</w:t>
      </w:r>
    </w:p>
    <w:p w14:paraId="0232BBBC" w14:textId="2C44EBD4" w:rsidR="005C4DEB" w:rsidRPr="00094CA1" w:rsidRDefault="004F436D" w:rsidP="00094CA1">
      <w:pPr>
        <w:pStyle w:val="af"/>
      </w:pPr>
      <w:r w:rsidRPr="00094CA1">
        <w:rPr>
          <w:rFonts w:hint="eastAsia"/>
          <w:noProof/>
        </w:rPr>
        <w:drawing>
          <wp:inline distT="0" distB="0" distL="0" distR="0" wp14:anchorId="6B17F23D" wp14:editId="51D1AF30">
            <wp:extent cx="5274310" cy="422910"/>
            <wp:effectExtent l="0" t="0" r="0" b="0"/>
            <wp:docPr id="19905575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57522" name="图片 19905575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22910"/>
                    </a:xfrm>
                    <a:prstGeom prst="rect">
                      <a:avLst/>
                    </a:prstGeom>
                  </pic:spPr>
                </pic:pic>
              </a:graphicData>
            </a:graphic>
          </wp:inline>
        </w:drawing>
      </w:r>
    </w:p>
    <w:p w14:paraId="61C32837" w14:textId="77777777" w:rsidR="00024299" w:rsidRPr="00094CA1" w:rsidRDefault="00024299" w:rsidP="00094CA1">
      <w:pPr>
        <w:pStyle w:val="af"/>
      </w:pPr>
    </w:p>
    <w:p w14:paraId="7EE66B10" w14:textId="77777777" w:rsidR="00043308" w:rsidRDefault="00043308" w:rsidP="00094CA1">
      <w:pPr>
        <w:pStyle w:val="af"/>
        <w:rPr>
          <w:b/>
          <w:bCs/>
        </w:rPr>
      </w:pPr>
    </w:p>
    <w:p w14:paraId="1DFDEFBF" w14:textId="7BC0CA59" w:rsidR="00024299" w:rsidRPr="009D7FAA" w:rsidRDefault="00253306" w:rsidP="00094CA1">
      <w:pPr>
        <w:pStyle w:val="af"/>
        <w:rPr>
          <w:b/>
          <w:bCs/>
        </w:rPr>
      </w:pPr>
      <w:r>
        <w:rPr>
          <w:rFonts w:hint="eastAsia"/>
          <w:b/>
          <w:bCs/>
        </w:rPr>
        <w:t>三</w:t>
      </w:r>
      <w:r w:rsidR="00024299" w:rsidRPr="009D7FAA">
        <w:rPr>
          <w:rFonts w:hint="eastAsia"/>
          <w:b/>
          <w:bCs/>
        </w:rPr>
        <w:t>、经营数据</w:t>
      </w:r>
    </w:p>
    <w:p w14:paraId="46D6155A" w14:textId="611AED4B" w:rsidR="00024299" w:rsidRPr="00094CA1" w:rsidRDefault="003C6DA7" w:rsidP="00094CA1">
      <w:pPr>
        <w:pStyle w:val="af"/>
      </w:pPr>
      <w:r w:rsidRPr="00094CA1">
        <w:rPr>
          <w:rFonts w:hint="eastAsia"/>
          <w:noProof/>
        </w:rPr>
        <w:drawing>
          <wp:inline distT="0" distB="0" distL="0" distR="0" wp14:anchorId="69F44697" wp14:editId="5AA9E69F">
            <wp:extent cx="4298535" cy="999852"/>
            <wp:effectExtent l="0" t="0" r="0" b="0"/>
            <wp:docPr id="398886502" name="图片 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86502" name="图片 3" descr="表格&#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91315" cy="1021433"/>
                    </a:xfrm>
                    <a:prstGeom prst="rect">
                      <a:avLst/>
                    </a:prstGeom>
                  </pic:spPr>
                </pic:pic>
              </a:graphicData>
            </a:graphic>
          </wp:inline>
        </w:drawing>
      </w:r>
    </w:p>
    <w:p w14:paraId="6ED613E9" w14:textId="110AA5CE" w:rsidR="00FC1D6C" w:rsidRPr="00094CA1" w:rsidRDefault="00FC1D6C" w:rsidP="00094CA1">
      <w:pPr>
        <w:pStyle w:val="af"/>
      </w:pPr>
      <w:r w:rsidRPr="00094CA1">
        <w:t>合约面积：从2020年的181.2百万平方米增加到2023年的308.3百万平方米，显示出合约面积的持续增长，但增长率逐年下降。</w:t>
      </w:r>
    </w:p>
    <w:p w14:paraId="5466D6F7" w14:textId="3B1D68ED" w:rsidR="00FC1D6C" w:rsidRPr="004576AF" w:rsidRDefault="00FC1D6C" w:rsidP="00094CA1">
      <w:pPr>
        <w:pStyle w:val="af"/>
        <w:rPr>
          <w:b/>
          <w:bCs/>
        </w:rPr>
      </w:pPr>
      <w:r w:rsidRPr="00094CA1">
        <w:t>在管面积：从2020年的101.6百万平方米增加到2023年的221.4百万平方米，也显示出持续增长，增速也逐年下降。</w:t>
      </w:r>
      <w:r w:rsidR="002E0325" w:rsidRPr="004576AF">
        <w:rPr>
          <w:rFonts w:hint="eastAsia"/>
          <w:b/>
          <w:bCs/>
        </w:rPr>
        <w:t>说明</w:t>
      </w:r>
      <w:r w:rsidR="00635FC1" w:rsidRPr="004576AF">
        <w:rPr>
          <w:rFonts w:hint="eastAsia"/>
          <w:b/>
          <w:bCs/>
        </w:rPr>
        <w:t>公司</w:t>
      </w:r>
      <w:r w:rsidR="002E0325" w:rsidRPr="004576AF">
        <w:rPr>
          <w:rFonts w:hint="eastAsia"/>
          <w:b/>
          <w:bCs/>
        </w:rPr>
        <w:t>在</w:t>
      </w:r>
      <w:r w:rsidR="002E0325" w:rsidRPr="004576AF">
        <w:rPr>
          <w:b/>
          <w:bCs/>
        </w:rPr>
        <w:t>将合约面积转化为实际管理面积上的效率在降低。</w:t>
      </w:r>
    </w:p>
    <w:p w14:paraId="326DBCA5" w14:textId="7FDC1C1C" w:rsidR="00000815" w:rsidRDefault="002E205F" w:rsidP="00094CA1">
      <w:pPr>
        <w:pStyle w:val="af"/>
      </w:pPr>
      <w:r w:rsidRPr="002E205F">
        <w:t>合约面积除以在管面积的比值逐年减少，</w:t>
      </w:r>
      <w:r w:rsidRPr="00E35279">
        <w:t>意味着物业公司的新签合约面积增长速度小于现有管理面积的增长速度。</w:t>
      </w:r>
      <w:r w:rsidR="00DF2BC6" w:rsidRPr="004576AF">
        <w:rPr>
          <w:b/>
          <w:bCs/>
        </w:rPr>
        <w:t>预示着未来在管面积和收入增长的潜力有限。</w:t>
      </w:r>
    </w:p>
    <w:p w14:paraId="58E28ADE" w14:textId="05F64B22" w:rsidR="00000815" w:rsidRDefault="00000815" w:rsidP="00000815">
      <w:pPr>
        <w:pStyle w:val="af"/>
      </w:pPr>
      <w:r w:rsidRPr="00094CA1">
        <w:rPr>
          <w:rFonts w:hint="eastAsia"/>
          <w:noProof/>
        </w:rPr>
        <w:lastRenderedPageBreak/>
        <w:drawing>
          <wp:inline distT="0" distB="0" distL="0" distR="0" wp14:anchorId="54ACFAB7" wp14:editId="533CB2F3">
            <wp:extent cx="5274310" cy="564515"/>
            <wp:effectExtent l="0" t="0" r="0" b="0"/>
            <wp:docPr id="124473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329" name="图片 124473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564515"/>
                    </a:xfrm>
                    <a:prstGeom prst="rect">
                      <a:avLst/>
                    </a:prstGeom>
                  </pic:spPr>
                </pic:pic>
              </a:graphicData>
            </a:graphic>
          </wp:inline>
        </w:drawing>
      </w:r>
    </w:p>
    <w:p w14:paraId="478F2F8F" w14:textId="77777777" w:rsidR="00000815" w:rsidRDefault="00000815" w:rsidP="00000815">
      <w:pPr>
        <w:pStyle w:val="af"/>
      </w:pPr>
    </w:p>
    <w:p w14:paraId="3A67978C" w14:textId="7D9BB102" w:rsidR="00000815" w:rsidRDefault="00000815" w:rsidP="00000815">
      <w:pPr>
        <w:pStyle w:val="af"/>
        <w:rPr>
          <w:b/>
          <w:bCs/>
        </w:rPr>
      </w:pPr>
      <w:r w:rsidRPr="00094CA1">
        <w:t>2023年，旭辉集团占比为25%，第三方物业开发商占比为75%。相比2022年和2021年，旭辉集团的占比逐年增加，而第三方物业开发商的占比则相应减少。</w:t>
      </w:r>
      <w:r w:rsidRPr="00B6395C">
        <w:rPr>
          <w:b/>
          <w:bCs/>
        </w:rPr>
        <w:t>显示出母公司旭辉集团对永升集团的影响依旧显著</w:t>
      </w:r>
      <w:r w:rsidRPr="00094CA1">
        <w:t>。尽管永升集团在逐步扩展其第三方物业开发商的业务，</w:t>
      </w:r>
      <w:r w:rsidRPr="00687BC4">
        <w:t>但母公司占比的增加表明</w:t>
      </w:r>
      <w:r w:rsidRPr="00B6395C">
        <w:rPr>
          <w:b/>
          <w:bCs/>
        </w:rPr>
        <w:t>其依赖性并没有显著降低。</w:t>
      </w:r>
    </w:p>
    <w:p w14:paraId="61244951" w14:textId="77777777" w:rsidR="00A43549" w:rsidRPr="00094CA1" w:rsidRDefault="00A43549" w:rsidP="00000815">
      <w:pPr>
        <w:pStyle w:val="af"/>
      </w:pPr>
    </w:p>
    <w:p w14:paraId="339999E1" w14:textId="77777777" w:rsidR="00D6457D" w:rsidRDefault="00D6457D" w:rsidP="00D6457D">
      <w:pPr>
        <w:pStyle w:val="af"/>
      </w:pPr>
    </w:p>
    <w:p w14:paraId="737551B5" w14:textId="43AE5542" w:rsidR="00D6457D" w:rsidRPr="00D6457D" w:rsidRDefault="00D6457D" w:rsidP="00D6457D">
      <w:pPr>
        <w:pStyle w:val="af"/>
        <w:rPr>
          <w:b/>
          <w:bCs/>
        </w:rPr>
      </w:pPr>
      <w:r w:rsidRPr="00D6457D">
        <w:rPr>
          <w:rFonts w:hint="eastAsia"/>
          <w:b/>
          <w:bCs/>
        </w:rPr>
        <w:t>四、</w:t>
      </w:r>
      <w:r w:rsidR="00D630EF">
        <w:rPr>
          <w:rFonts w:hint="eastAsia"/>
          <w:b/>
          <w:bCs/>
        </w:rPr>
        <w:t>估值</w:t>
      </w:r>
    </w:p>
    <w:p w14:paraId="4A602B12" w14:textId="0CE3780F" w:rsidR="0002275C" w:rsidRDefault="0002275C" w:rsidP="0002275C">
      <w:pPr>
        <w:pStyle w:val="af"/>
        <w:rPr>
          <w:b/>
          <w:bCs/>
        </w:rPr>
      </w:pPr>
      <w:r>
        <w:rPr>
          <w:rFonts w:hint="eastAsia"/>
          <w:b/>
          <w:bCs/>
          <w:noProof/>
          <w:lang w:val="zh-CN"/>
        </w:rPr>
        <w:drawing>
          <wp:inline distT="0" distB="0" distL="0" distR="0" wp14:anchorId="0D8189A8" wp14:editId="46FF017A">
            <wp:extent cx="5274310" cy="1681480"/>
            <wp:effectExtent l="0" t="0" r="0" b="0"/>
            <wp:docPr id="1481838080"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38080" name="图片 4" descr="表格&#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681480"/>
                    </a:xfrm>
                    <a:prstGeom prst="rect">
                      <a:avLst/>
                    </a:prstGeom>
                  </pic:spPr>
                </pic:pic>
              </a:graphicData>
            </a:graphic>
          </wp:inline>
        </w:drawing>
      </w:r>
    </w:p>
    <w:p w14:paraId="1870FAFF" w14:textId="63EEBE75" w:rsidR="005C546F" w:rsidRPr="005C546F" w:rsidRDefault="005C546F" w:rsidP="005C546F">
      <w:pPr>
        <w:pStyle w:val="af"/>
      </w:pPr>
    </w:p>
    <w:sectPr w:rsidR="005C546F" w:rsidRPr="005C546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760F7"/>
    <w:multiLevelType w:val="hybridMultilevel"/>
    <w:tmpl w:val="7D966C9A"/>
    <w:lvl w:ilvl="0" w:tplc="EB966D52">
      <w:start w:val="1"/>
      <w:numFmt w:val="japaneseCounting"/>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7DE439B"/>
    <w:multiLevelType w:val="hybridMultilevel"/>
    <w:tmpl w:val="5ACC9802"/>
    <w:lvl w:ilvl="0" w:tplc="64DEEDD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B453E76"/>
    <w:multiLevelType w:val="hybridMultilevel"/>
    <w:tmpl w:val="6D8C30CC"/>
    <w:lvl w:ilvl="0" w:tplc="24F2E21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A892DE2"/>
    <w:multiLevelType w:val="hybridMultilevel"/>
    <w:tmpl w:val="729AD6A4"/>
    <w:lvl w:ilvl="0" w:tplc="46189B3A">
      <w:start w:val="2"/>
      <w:numFmt w:val="japaneseCounting"/>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B92732A"/>
    <w:multiLevelType w:val="hybridMultilevel"/>
    <w:tmpl w:val="7328293A"/>
    <w:lvl w:ilvl="0" w:tplc="518E0C3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F2B3C98"/>
    <w:multiLevelType w:val="hybridMultilevel"/>
    <w:tmpl w:val="88CC8D46"/>
    <w:lvl w:ilvl="0" w:tplc="681EA788">
      <w:start w:val="2"/>
      <w:numFmt w:val="japaneseCounting"/>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F410279"/>
    <w:multiLevelType w:val="hybridMultilevel"/>
    <w:tmpl w:val="C4129E4C"/>
    <w:lvl w:ilvl="0" w:tplc="A9EA023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CDF421A"/>
    <w:multiLevelType w:val="hybridMultilevel"/>
    <w:tmpl w:val="0562C56A"/>
    <w:lvl w:ilvl="0" w:tplc="22A46EC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98716428">
    <w:abstractNumId w:val="7"/>
  </w:num>
  <w:num w:numId="2" w16cid:durableId="1256093045">
    <w:abstractNumId w:val="6"/>
  </w:num>
  <w:num w:numId="3" w16cid:durableId="610669296">
    <w:abstractNumId w:val="4"/>
  </w:num>
  <w:num w:numId="4" w16cid:durableId="997224980">
    <w:abstractNumId w:val="5"/>
  </w:num>
  <w:num w:numId="5" w16cid:durableId="230819707">
    <w:abstractNumId w:val="1"/>
  </w:num>
  <w:num w:numId="6" w16cid:durableId="1481655234">
    <w:abstractNumId w:val="3"/>
  </w:num>
  <w:num w:numId="7" w16cid:durableId="655841115">
    <w:abstractNumId w:val="2"/>
  </w:num>
  <w:num w:numId="8" w16cid:durableId="8457466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8B1"/>
    <w:rsid w:val="00000815"/>
    <w:rsid w:val="0001258C"/>
    <w:rsid w:val="0002275C"/>
    <w:rsid w:val="00024299"/>
    <w:rsid w:val="00043308"/>
    <w:rsid w:val="000438B1"/>
    <w:rsid w:val="000578D5"/>
    <w:rsid w:val="0006665F"/>
    <w:rsid w:val="00082E92"/>
    <w:rsid w:val="00094CA1"/>
    <w:rsid w:val="000B13E6"/>
    <w:rsid w:val="000C07B0"/>
    <w:rsid w:val="00155260"/>
    <w:rsid w:val="00164386"/>
    <w:rsid w:val="001A272C"/>
    <w:rsid w:val="001F2CC3"/>
    <w:rsid w:val="002132F8"/>
    <w:rsid w:val="0022573E"/>
    <w:rsid w:val="002258B5"/>
    <w:rsid w:val="00253306"/>
    <w:rsid w:val="00262513"/>
    <w:rsid w:val="00275CA6"/>
    <w:rsid w:val="0027734A"/>
    <w:rsid w:val="00283161"/>
    <w:rsid w:val="002A01E2"/>
    <w:rsid w:val="002E0325"/>
    <w:rsid w:val="002E205F"/>
    <w:rsid w:val="002E67FC"/>
    <w:rsid w:val="002F2757"/>
    <w:rsid w:val="0030359D"/>
    <w:rsid w:val="003204CE"/>
    <w:rsid w:val="003457C1"/>
    <w:rsid w:val="00354F63"/>
    <w:rsid w:val="0039027A"/>
    <w:rsid w:val="003921EA"/>
    <w:rsid w:val="003B301C"/>
    <w:rsid w:val="003C4A92"/>
    <w:rsid w:val="003C6DA7"/>
    <w:rsid w:val="0045493D"/>
    <w:rsid w:val="004565F7"/>
    <w:rsid w:val="004576AF"/>
    <w:rsid w:val="00460529"/>
    <w:rsid w:val="00483367"/>
    <w:rsid w:val="004A1201"/>
    <w:rsid w:val="004A3135"/>
    <w:rsid w:val="004C7F2F"/>
    <w:rsid w:val="004E7023"/>
    <w:rsid w:val="004F436D"/>
    <w:rsid w:val="00511826"/>
    <w:rsid w:val="00546D57"/>
    <w:rsid w:val="0055734E"/>
    <w:rsid w:val="00577360"/>
    <w:rsid w:val="005C4DEB"/>
    <w:rsid w:val="005C546F"/>
    <w:rsid w:val="005D283D"/>
    <w:rsid w:val="005E7EA7"/>
    <w:rsid w:val="00635FC1"/>
    <w:rsid w:val="006844C3"/>
    <w:rsid w:val="006877E3"/>
    <w:rsid w:val="00687BC4"/>
    <w:rsid w:val="006A34D6"/>
    <w:rsid w:val="006B0E0D"/>
    <w:rsid w:val="006B0FF9"/>
    <w:rsid w:val="006C2A7E"/>
    <w:rsid w:val="006F2EC1"/>
    <w:rsid w:val="00770169"/>
    <w:rsid w:val="00777ADE"/>
    <w:rsid w:val="007C3F14"/>
    <w:rsid w:val="007D0001"/>
    <w:rsid w:val="007E278C"/>
    <w:rsid w:val="007E3A32"/>
    <w:rsid w:val="008011BB"/>
    <w:rsid w:val="00825E56"/>
    <w:rsid w:val="00866835"/>
    <w:rsid w:val="00891C78"/>
    <w:rsid w:val="00895560"/>
    <w:rsid w:val="008F51EF"/>
    <w:rsid w:val="009079C8"/>
    <w:rsid w:val="00914CEA"/>
    <w:rsid w:val="00935FE1"/>
    <w:rsid w:val="00951554"/>
    <w:rsid w:val="00953601"/>
    <w:rsid w:val="009541F9"/>
    <w:rsid w:val="0098679E"/>
    <w:rsid w:val="009931D7"/>
    <w:rsid w:val="009A63B4"/>
    <w:rsid w:val="009A6D36"/>
    <w:rsid w:val="009C14CA"/>
    <w:rsid w:val="009D7FAA"/>
    <w:rsid w:val="009F42A6"/>
    <w:rsid w:val="00A150E3"/>
    <w:rsid w:val="00A37257"/>
    <w:rsid w:val="00A4179D"/>
    <w:rsid w:val="00A43549"/>
    <w:rsid w:val="00A4364C"/>
    <w:rsid w:val="00A574AD"/>
    <w:rsid w:val="00A646AC"/>
    <w:rsid w:val="00A71D5F"/>
    <w:rsid w:val="00AA7F78"/>
    <w:rsid w:val="00AC773D"/>
    <w:rsid w:val="00AF1EB4"/>
    <w:rsid w:val="00B21AD5"/>
    <w:rsid w:val="00B6395C"/>
    <w:rsid w:val="00B772B0"/>
    <w:rsid w:val="00BA22DB"/>
    <w:rsid w:val="00BD3D86"/>
    <w:rsid w:val="00BF22A4"/>
    <w:rsid w:val="00BF497E"/>
    <w:rsid w:val="00C35243"/>
    <w:rsid w:val="00C85353"/>
    <w:rsid w:val="00CA14DF"/>
    <w:rsid w:val="00CC4FCF"/>
    <w:rsid w:val="00CF3809"/>
    <w:rsid w:val="00D45DFC"/>
    <w:rsid w:val="00D630EF"/>
    <w:rsid w:val="00D6457D"/>
    <w:rsid w:val="00D73F38"/>
    <w:rsid w:val="00D807CD"/>
    <w:rsid w:val="00DD3980"/>
    <w:rsid w:val="00DF2BC6"/>
    <w:rsid w:val="00E35279"/>
    <w:rsid w:val="00E47F24"/>
    <w:rsid w:val="00E6324A"/>
    <w:rsid w:val="00E66E25"/>
    <w:rsid w:val="00E9401C"/>
    <w:rsid w:val="00EB544A"/>
    <w:rsid w:val="00F04E02"/>
    <w:rsid w:val="00F3541A"/>
    <w:rsid w:val="00F521EB"/>
    <w:rsid w:val="00F907E6"/>
    <w:rsid w:val="00F90CC2"/>
    <w:rsid w:val="00F92217"/>
    <w:rsid w:val="00FC1D6C"/>
    <w:rsid w:val="00FE12F2"/>
    <w:rsid w:val="00FF67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D1CDB"/>
  <w15:chartTrackingRefBased/>
  <w15:docId w15:val="{254159E6-46CC-094D-BA49-5B87DB386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0438B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0438B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0438B1"/>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0438B1"/>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0438B1"/>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0438B1"/>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0438B1"/>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0438B1"/>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0438B1"/>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438B1"/>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0438B1"/>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0438B1"/>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0438B1"/>
    <w:rPr>
      <w:rFonts w:cstheme="majorBidi"/>
      <w:color w:val="0F4761" w:themeColor="accent1" w:themeShade="BF"/>
      <w:sz w:val="28"/>
      <w:szCs w:val="28"/>
    </w:rPr>
  </w:style>
  <w:style w:type="character" w:customStyle="1" w:styleId="50">
    <w:name w:val="标题 5 字符"/>
    <w:basedOn w:val="a0"/>
    <w:link w:val="5"/>
    <w:uiPriority w:val="9"/>
    <w:semiHidden/>
    <w:rsid w:val="000438B1"/>
    <w:rPr>
      <w:rFonts w:cstheme="majorBidi"/>
      <w:color w:val="0F4761" w:themeColor="accent1" w:themeShade="BF"/>
      <w:sz w:val="24"/>
    </w:rPr>
  </w:style>
  <w:style w:type="character" w:customStyle="1" w:styleId="60">
    <w:name w:val="标题 6 字符"/>
    <w:basedOn w:val="a0"/>
    <w:link w:val="6"/>
    <w:uiPriority w:val="9"/>
    <w:semiHidden/>
    <w:rsid w:val="000438B1"/>
    <w:rPr>
      <w:rFonts w:cstheme="majorBidi"/>
      <w:b/>
      <w:bCs/>
      <w:color w:val="0F4761" w:themeColor="accent1" w:themeShade="BF"/>
    </w:rPr>
  </w:style>
  <w:style w:type="character" w:customStyle="1" w:styleId="70">
    <w:name w:val="标题 7 字符"/>
    <w:basedOn w:val="a0"/>
    <w:link w:val="7"/>
    <w:uiPriority w:val="9"/>
    <w:semiHidden/>
    <w:rsid w:val="000438B1"/>
    <w:rPr>
      <w:rFonts w:cstheme="majorBidi"/>
      <w:b/>
      <w:bCs/>
      <w:color w:val="595959" w:themeColor="text1" w:themeTint="A6"/>
    </w:rPr>
  </w:style>
  <w:style w:type="character" w:customStyle="1" w:styleId="80">
    <w:name w:val="标题 8 字符"/>
    <w:basedOn w:val="a0"/>
    <w:link w:val="8"/>
    <w:uiPriority w:val="9"/>
    <w:semiHidden/>
    <w:rsid w:val="000438B1"/>
    <w:rPr>
      <w:rFonts w:cstheme="majorBidi"/>
      <w:color w:val="595959" w:themeColor="text1" w:themeTint="A6"/>
    </w:rPr>
  </w:style>
  <w:style w:type="character" w:customStyle="1" w:styleId="90">
    <w:name w:val="标题 9 字符"/>
    <w:basedOn w:val="a0"/>
    <w:link w:val="9"/>
    <w:uiPriority w:val="9"/>
    <w:semiHidden/>
    <w:rsid w:val="000438B1"/>
    <w:rPr>
      <w:rFonts w:eastAsiaTheme="majorEastAsia" w:cstheme="majorBidi"/>
      <w:color w:val="595959" w:themeColor="text1" w:themeTint="A6"/>
    </w:rPr>
  </w:style>
  <w:style w:type="paragraph" w:styleId="a3">
    <w:name w:val="Title"/>
    <w:basedOn w:val="a"/>
    <w:next w:val="a"/>
    <w:link w:val="a4"/>
    <w:uiPriority w:val="10"/>
    <w:qFormat/>
    <w:rsid w:val="000438B1"/>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0438B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438B1"/>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0438B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438B1"/>
    <w:pPr>
      <w:spacing w:before="160"/>
      <w:jc w:val="center"/>
    </w:pPr>
    <w:rPr>
      <w:i/>
      <w:iCs/>
      <w:color w:val="404040" w:themeColor="text1" w:themeTint="BF"/>
    </w:rPr>
  </w:style>
  <w:style w:type="character" w:customStyle="1" w:styleId="a8">
    <w:name w:val="引用 字符"/>
    <w:basedOn w:val="a0"/>
    <w:link w:val="a7"/>
    <w:uiPriority w:val="29"/>
    <w:rsid w:val="000438B1"/>
    <w:rPr>
      <w:i/>
      <w:iCs/>
      <w:color w:val="404040" w:themeColor="text1" w:themeTint="BF"/>
    </w:rPr>
  </w:style>
  <w:style w:type="paragraph" w:styleId="a9">
    <w:name w:val="List Paragraph"/>
    <w:basedOn w:val="a"/>
    <w:uiPriority w:val="34"/>
    <w:qFormat/>
    <w:rsid w:val="000438B1"/>
    <w:pPr>
      <w:ind w:left="720"/>
      <w:contextualSpacing/>
    </w:pPr>
  </w:style>
  <w:style w:type="character" w:styleId="aa">
    <w:name w:val="Intense Emphasis"/>
    <w:basedOn w:val="a0"/>
    <w:uiPriority w:val="21"/>
    <w:qFormat/>
    <w:rsid w:val="000438B1"/>
    <w:rPr>
      <w:i/>
      <w:iCs/>
      <w:color w:val="0F4761" w:themeColor="accent1" w:themeShade="BF"/>
    </w:rPr>
  </w:style>
  <w:style w:type="paragraph" w:styleId="ab">
    <w:name w:val="Intense Quote"/>
    <w:basedOn w:val="a"/>
    <w:next w:val="a"/>
    <w:link w:val="ac"/>
    <w:uiPriority w:val="30"/>
    <w:qFormat/>
    <w:rsid w:val="000438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0438B1"/>
    <w:rPr>
      <w:i/>
      <w:iCs/>
      <w:color w:val="0F4761" w:themeColor="accent1" w:themeShade="BF"/>
    </w:rPr>
  </w:style>
  <w:style w:type="character" w:styleId="ad">
    <w:name w:val="Intense Reference"/>
    <w:basedOn w:val="a0"/>
    <w:uiPriority w:val="32"/>
    <w:qFormat/>
    <w:rsid w:val="000438B1"/>
    <w:rPr>
      <w:b/>
      <w:bCs/>
      <w:smallCaps/>
      <w:color w:val="0F4761" w:themeColor="accent1" w:themeShade="BF"/>
      <w:spacing w:val="5"/>
    </w:rPr>
  </w:style>
  <w:style w:type="character" w:customStyle="1" w:styleId="itemtitle">
    <w:name w:val="itemtitle"/>
    <w:basedOn w:val="a0"/>
    <w:rsid w:val="00354F63"/>
  </w:style>
  <w:style w:type="character" w:customStyle="1" w:styleId="apple-converted-space">
    <w:name w:val="apple-converted-space"/>
    <w:basedOn w:val="a0"/>
    <w:rsid w:val="00354F63"/>
  </w:style>
  <w:style w:type="character" w:styleId="ae">
    <w:name w:val="Subtle Reference"/>
    <w:basedOn w:val="a0"/>
    <w:uiPriority w:val="31"/>
    <w:qFormat/>
    <w:rsid w:val="003457C1"/>
    <w:rPr>
      <w:smallCaps/>
      <w:color w:val="5A5A5A" w:themeColor="text1" w:themeTint="A5"/>
    </w:rPr>
  </w:style>
  <w:style w:type="paragraph" w:styleId="af">
    <w:name w:val="No Spacing"/>
    <w:uiPriority w:val="1"/>
    <w:qFormat/>
    <w:rsid w:val="003457C1"/>
    <w:pPr>
      <w:widowControl w:val="0"/>
      <w:spacing w:after="0" w:line="240" w:lineRule="auto"/>
    </w:pPr>
  </w:style>
  <w:style w:type="character" w:styleId="af0">
    <w:name w:val="Strong"/>
    <w:basedOn w:val="a0"/>
    <w:uiPriority w:val="22"/>
    <w:qFormat/>
    <w:rsid w:val="0027734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21680">
      <w:bodyDiv w:val="1"/>
      <w:marLeft w:val="0"/>
      <w:marRight w:val="0"/>
      <w:marTop w:val="0"/>
      <w:marBottom w:val="0"/>
      <w:divBdr>
        <w:top w:val="none" w:sz="0" w:space="0" w:color="auto"/>
        <w:left w:val="none" w:sz="0" w:space="0" w:color="auto"/>
        <w:bottom w:val="none" w:sz="0" w:space="0" w:color="auto"/>
        <w:right w:val="none" w:sz="0" w:space="0" w:color="auto"/>
      </w:divBdr>
      <w:divsChild>
        <w:div w:id="863325476">
          <w:marLeft w:val="0"/>
          <w:marRight w:val="0"/>
          <w:marTop w:val="0"/>
          <w:marBottom w:val="0"/>
          <w:divBdr>
            <w:top w:val="none" w:sz="0" w:space="0" w:color="auto"/>
            <w:left w:val="none" w:sz="0" w:space="0" w:color="auto"/>
            <w:bottom w:val="none" w:sz="0" w:space="0" w:color="auto"/>
            <w:right w:val="none" w:sz="0" w:space="0" w:color="auto"/>
          </w:divBdr>
        </w:div>
      </w:divsChild>
    </w:div>
    <w:div w:id="74790267">
      <w:bodyDiv w:val="1"/>
      <w:marLeft w:val="0"/>
      <w:marRight w:val="0"/>
      <w:marTop w:val="0"/>
      <w:marBottom w:val="0"/>
      <w:divBdr>
        <w:top w:val="none" w:sz="0" w:space="0" w:color="auto"/>
        <w:left w:val="none" w:sz="0" w:space="0" w:color="auto"/>
        <w:bottom w:val="none" w:sz="0" w:space="0" w:color="auto"/>
        <w:right w:val="none" w:sz="0" w:space="0" w:color="auto"/>
      </w:divBdr>
    </w:div>
    <w:div w:id="653416801">
      <w:bodyDiv w:val="1"/>
      <w:marLeft w:val="0"/>
      <w:marRight w:val="0"/>
      <w:marTop w:val="0"/>
      <w:marBottom w:val="0"/>
      <w:divBdr>
        <w:top w:val="none" w:sz="0" w:space="0" w:color="auto"/>
        <w:left w:val="none" w:sz="0" w:space="0" w:color="auto"/>
        <w:bottom w:val="none" w:sz="0" w:space="0" w:color="auto"/>
        <w:right w:val="none" w:sz="0" w:space="0" w:color="auto"/>
      </w:divBdr>
      <w:divsChild>
        <w:div w:id="801921662">
          <w:marLeft w:val="0"/>
          <w:marRight w:val="0"/>
          <w:marTop w:val="0"/>
          <w:marBottom w:val="0"/>
          <w:divBdr>
            <w:top w:val="none" w:sz="0" w:space="0" w:color="auto"/>
            <w:left w:val="none" w:sz="0" w:space="0" w:color="auto"/>
            <w:bottom w:val="none" w:sz="0" w:space="0" w:color="auto"/>
            <w:right w:val="none" w:sz="0" w:space="0" w:color="auto"/>
          </w:divBdr>
        </w:div>
      </w:divsChild>
    </w:div>
    <w:div w:id="699086460">
      <w:bodyDiv w:val="1"/>
      <w:marLeft w:val="0"/>
      <w:marRight w:val="0"/>
      <w:marTop w:val="0"/>
      <w:marBottom w:val="0"/>
      <w:divBdr>
        <w:top w:val="none" w:sz="0" w:space="0" w:color="auto"/>
        <w:left w:val="none" w:sz="0" w:space="0" w:color="auto"/>
        <w:bottom w:val="none" w:sz="0" w:space="0" w:color="auto"/>
        <w:right w:val="none" w:sz="0" w:space="0" w:color="auto"/>
      </w:divBdr>
      <w:divsChild>
        <w:div w:id="951401253">
          <w:marLeft w:val="0"/>
          <w:marRight w:val="0"/>
          <w:marTop w:val="0"/>
          <w:marBottom w:val="0"/>
          <w:divBdr>
            <w:top w:val="none" w:sz="0" w:space="0" w:color="auto"/>
            <w:left w:val="none" w:sz="0" w:space="0" w:color="auto"/>
            <w:bottom w:val="none" w:sz="0" w:space="0" w:color="auto"/>
            <w:right w:val="none" w:sz="0" w:space="0" w:color="auto"/>
          </w:divBdr>
        </w:div>
        <w:div w:id="393282472">
          <w:marLeft w:val="0"/>
          <w:marRight w:val="0"/>
          <w:marTop w:val="0"/>
          <w:marBottom w:val="0"/>
          <w:divBdr>
            <w:top w:val="none" w:sz="0" w:space="0" w:color="auto"/>
            <w:left w:val="none" w:sz="0" w:space="0" w:color="auto"/>
            <w:bottom w:val="none" w:sz="0" w:space="0" w:color="auto"/>
            <w:right w:val="none" w:sz="0" w:space="0" w:color="auto"/>
          </w:divBdr>
        </w:div>
        <w:div w:id="1412771010">
          <w:marLeft w:val="0"/>
          <w:marRight w:val="0"/>
          <w:marTop w:val="0"/>
          <w:marBottom w:val="0"/>
          <w:divBdr>
            <w:top w:val="none" w:sz="0" w:space="0" w:color="auto"/>
            <w:left w:val="none" w:sz="0" w:space="0" w:color="auto"/>
            <w:bottom w:val="none" w:sz="0" w:space="0" w:color="auto"/>
            <w:right w:val="none" w:sz="0" w:space="0" w:color="auto"/>
          </w:divBdr>
        </w:div>
      </w:divsChild>
    </w:div>
    <w:div w:id="733118180">
      <w:bodyDiv w:val="1"/>
      <w:marLeft w:val="0"/>
      <w:marRight w:val="0"/>
      <w:marTop w:val="0"/>
      <w:marBottom w:val="0"/>
      <w:divBdr>
        <w:top w:val="none" w:sz="0" w:space="0" w:color="auto"/>
        <w:left w:val="none" w:sz="0" w:space="0" w:color="auto"/>
        <w:bottom w:val="none" w:sz="0" w:space="0" w:color="auto"/>
        <w:right w:val="none" w:sz="0" w:space="0" w:color="auto"/>
      </w:divBdr>
      <w:divsChild>
        <w:div w:id="70394560">
          <w:marLeft w:val="0"/>
          <w:marRight w:val="0"/>
          <w:marTop w:val="0"/>
          <w:marBottom w:val="0"/>
          <w:divBdr>
            <w:top w:val="none" w:sz="0" w:space="0" w:color="auto"/>
            <w:left w:val="none" w:sz="0" w:space="0" w:color="auto"/>
            <w:bottom w:val="none" w:sz="0" w:space="0" w:color="auto"/>
            <w:right w:val="none" w:sz="0" w:space="0" w:color="auto"/>
          </w:divBdr>
          <w:divsChild>
            <w:div w:id="1067535909">
              <w:marLeft w:val="0"/>
              <w:marRight w:val="0"/>
              <w:marTop w:val="0"/>
              <w:marBottom w:val="0"/>
              <w:divBdr>
                <w:top w:val="none" w:sz="0" w:space="0" w:color="auto"/>
                <w:left w:val="none" w:sz="0" w:space="0" w:color="auto"/>
                <w:bottom w:val="none" w:sz="0" w:space="0" w:color="auto"/>
                <w:right w:val="none" w:sz="0" w:space="0" w:color="auto"/>
              </w:divBdr>
              <w:divsChild>
                <w:div w:id="142352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78108">
      <w:bodyDiv w:val="1"/>
      <w:marLeft w:val="0"/>
      <w:marRight w:val="0"/>
      <w:marTop w:val="0"/>
      <w:marBottom w:val="0"/>
      <w:divBdr>
        <w:top w:val="none" w:sz="0" w:space="0" w:color="auto"/>
        <w:left w:val="none" w:sz="0" w:space="0" w:color="auto"/>
        <w:bottom w:val="none" w:sz="0" w:space="0" w:color="auto"/>
        <w:right w:val="none" w:sz="0" w:space="0" w:color="auto"/>
      </w:divBdr>
    </w:div>
    <w:div w:id="1423646953">
      <w:bodyDiv w:val="1"/>
      <w:marLeft w:val="0"/>
      <w:marRight w:val="0"/>
      <w:marTop w:val="0"/>
      <w:marBottom w:val="0"/>
      <w:divBdr>
        <w:top w:val="none" w:sz="0" w:space="0" w:color="auto"/>
        <w:left w:val="none" w:sz="0" w:space="0" w:color="auto"/>
        <w:bottom w:val="none" w:sz="0" w:space="0" w:color="auto"/>
        <w:right w:val="none" w:sz="0" w:space="0" w:color="auto"/>
      </w:divBdr>
    </w:div>
    <w:div w:id="1473908807">
      <w:bodyDiv w:val="1"/>
      <w:marLeft w:val="0"/>
      <w:marRight w:val="0"/>
      <w:marTop w:val="0"/>
      <w:marBottom w:val="0"/>
      <w:divBdr>
        <w:top w:val="none" w:sz="0" w:space="0" w:color="auto"/>
        <w:left w:val="none" w:sz="0" w:space="0" w:color="auto"/>
        <w:bottom w:val="none" w:sz="0" w:space="0" w:color="auto"/>
        <w:right w:val="none" w:sz="0" w:space="0" w:color="auto"/>
      </w:divBdr>
      <w:divsChild>
        <w:div w:id="1034426682">
          <w:marLeft w:val="0"/>
          <w:marRight w:val="0"/>
          <w:marTop w:val="0"/>
          <w:marBottom w:val="0"/>
          <w:divBdr>
            <w:top w:val="none" w:sz="0" w:space="0" w:color="auto"/>
            <w:left w:val="none" w:sz="0" w:space="0" w:color="auto"/>
            <w:bottom w:val="none" w:sz="0" w:space="0" w:color="auto"/>
            <w:right w:val="none" w:sz="0" w:space="0" w:color="auto"/>
          </w:divBdr>
          <w:divsChild>
            <w:div w:id="1659990943">
              <w:marLeft w:val="0"/>
              <w:marRight w:val="0"/>
              <w:marTop w:val="0"/>
              <w:marBottom w:val="0"/>
              <w:divBdr>
                <w:top w:val="none" w:sz="0" w:space="0" w:color="auto"/>
                <w:left w:val="none" w:sz="0" w:space="0" w:color="auto"/>
                <w:bottom w:val="none" w:sz="0" w:space="0" w:color="auto"/>
                <w:right w:val="none" w:sz="0" w:space="0" w:color="auto"/>
              </w:divBdr>
              <w:divsChild>
                <w:div w:id="1665741406">
                  <w:marLeft w:val="0"/>
                  <w:marRight w:val="0"/>
                  <w:marTop w:val="0"/>
                  <w:marBottom w:val="0"/>
                  <w:divBdr>
                    <w:top w:val="none" w:sz="0" w:space="0" w:color="auto"/>
                    <w:left w:val="none" w:sz="0" w:space="0" w:color="auto"/>
                    <w:bottom w:val="none" w:sz="0" w:space="0" w:color="auto"/>
                    <w:right w:val="none" w:sz="0" w:space="0" w:color="auto"/>
                  </w:divBdr>
                  <w:divsChild>
                    <w:div w:id="9382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794411">
      <w:bodyDiv w:val="1"/>
      <w:marLeft w:val="0"/>
      <w:marRight w:val="0"/>
      <w:marTop w:val="0"/>
      <w:marBottom w:val="0"/>
      <w:divBdr>
        <w:top w:val="none" w:sz="0" w:space="0" w:color="auto"/>
        <w:left w:val="none" w:sz="0" w:space="0" w:color="auto"/>
        <w:bottom w:val="none" w:sz="0" w:space="0" w:color="auto"/>
        <w:right w:val="none" w:sz="0" w:space="0" w:color="auto"/>
      </w:divBdr>
    </w:div>
    <w:div w:id="2024555473">
      <w:bodyDiv w:val="1"/>
      <w:marLeft w:val="0"/>
      <w:marRight w:val="0"/>
      <w:marTop w:val="0"/>
      <w:marBottom w:val="0"/>
      <w:divBdr>
        <w:top w:val="none" w:sz="0" w:space="0" w:color="auto"/>
        <w:left w:val="none" w:sz="0" w:space="0" w:color="auto"/>
        <w:bottom w:val="none" w:sz="0" w:space="0" w:color="auto"/>
        <w:right w:val="none" w:sz="0" w:space="0" w:color="auto"/>
      </w:divBdr>
    </w:div>
    <w:div w:id="2107342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CA620-FE69-2948-AF5E-519458F03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440</Words>
  <Characters>2510</Characters>
  <Application>Microsoft Office Word</Application>
  <DocSecurity>0</DocSecurity>
  <Lines>20</Lines>
  <Paragraphs>5</Paragraphs>
  <ScaleCrop>false</ScaleCrop>
  <Company/>
  <LinksUpToDate>false</LinksUpToDate>
  <CharactersWithSpaces>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禾安妤 任</dc:creator>
  <cp:keywords/>
  <dc:description/>
  <cp:lastModifiedBy>禾安妤 任</cp:lastModifiedBy>
  <cp:revision>2</cp:revision>
  <dcterms:created xsi:type="dcterms:W3CDTF">2024-07-30T07:05:00Z</dcterms:created>
  <dcterms:modified xsi:type="dcterms:W3CDTF">2024-07-30T07:05:00Z</dcterms:modified>
</cp:coreProperties>
</file>