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</w:rPr>
      </w:pPr>
    </w:p>
    <w:p>
      <w:pPr>
        <w:pStyle w:val="style179"/>
        <w:numPr>
          <w:ilvl w:val="0"/>
          <w:numId w:val="1"/>
        </w:numPr>
        <w:ind w:firstLineChars="0"/>
        <w:rPr/>
      </w:pPr>
      <w:r>
        <w:t>Efficient Market Hypothesis</w:t>
      </w:r>
      <w:r>
        <w:t xml:space="preserve"> (20%)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rPr>
          <w:rFonts w:hint="eastAsia"/>
        </w:rPr>
        <w:t>Pleas</w:t>
      </w:r>
      <w:r>
        <w:t xml:space="preserve">e explain the three different versions of </w:t>
      </w:r>
      <w:r>
        <w:t xml:space="preserve">the efficient market hypothesis (EMH). </w:t>
      </w:r>
      <w:r>
        <w:t>(5%)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t xml:space="preserve">Please provide two empirical </w:t>
      </w:r>
      <w:r>
        <w:t>pieces of evidence</w:t>
      </w:r>
      <w:r>
        <w:t xml:space="preserve"> against weak </w:t>
      </w:r>
      <w:r>
        <w:t>EMH.</w:t>
      </w:r>
      <w:r>
        <w:t xml:space="preserve"> (5%)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t xml:space="preserve">Please provide </w:t>
      </w:r>
      <w:r>
        <w:rPr>
          <w:rFonts w:hint="eastAsia"/>
        </w:rPr>
        <w:t>empirical eviden</w:t>
      </w:r>
      <w:r>
        <w:t>ce</w:t>
      </w:r>
      <w:r>
        <w:t xml:space="preserve"> against the semi-strong version </w:t>
      </w:r>
      <w:r>
        <w:t xml:space="preserve">of </w:t>
      </w:r>
      <w:r>
        <w:t xml:space="preserve">EMH, which is different from </w:t>
      </w:r>
      <w:r>
        <w:t xml:space="preserve">the two </w:t>
      </w:r>
      <w:r>
        <w:t>pieces of evidence</w:t>
      </w:r>
      <w:r>
        <w:t xml:space="preserve"> you provide in (b)</w:t>
      </w:r>
      <w:r>
        <w:t xml:space="preserve"> (5%)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t>What</w:t>
      </w:r>
      <w:r>
        <w:t xml:space="preserve"> </w:t>
      </w:r>
      <w:r>
        <w:t>are</w:t>
      </w:r>
      <w:r>
        <w:t xml:space="preserve"> the limits to arbitrage argument and why it is crucial for behavioral finance </w:t>
      </w:r>
      <w:r>
        <w:t>schools</w:t>
      </w:r>
      <w:r>
        <w:t xml:space="preserve"> to fight against </w:t>
      </w:r>
      <w:r>
        <w:t xml:space="preserve">the critics of the </w:t>
      </w:r>
      <w:r>
        <w:t>rational school?</w:t>
      </w:r>
      <w:r>
        <w:t xml:space="preserve"> (5%)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Stock market anomalies</w:t>
      </w:r>
      <w:r>
        <w:t xml:space="preserve"> (15%)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t xml:space="preserve">Please </w:t>
      </w:r>
      <w:r>
        <w:t>describe one</w:t>
      </w:r>
      <w:r>
        <w:t xml:space="preserve"> </w:t>
      </w:r>
      <w:r>
        <w:t xml:space="preserve">stock market </w:t>
      </w:r>
      <w:r>
        <w:t>“</w:t>
      </w:r>
      <w:r>
        <w:t>anomaly</w:t>
      </w:r>
      <w:r>
        <w:t>”</w:t>
      </w:r>
      <w:r>
        <w:t xml:space="preserve">, provide </w:t>
      </w:r>
      <w:r>
        <w:t xml:space="preserve">an </w:t>
      </w:r>
      <w:r>
        <w:t>explanation from both rational</w:t>
      </w:r>
      <w:r>
        <w:t xml:space="preserve"> (EMH)</w:t>
      </w:r>
      <w:r>
        <w:t xml:space="preserve"> school and behavioral school, </w:t>
      </w:r>
      <w:r>
        <w:t xml:space="preserve">and </w:t>
      </w:r>
      <w:r>
        <w:t>develop a strategy</w:t>
      </w:r>
      <w:r>
        <w:t xml:space="preserve"> to exploit the anomaly</w:t>
      </w:r>
      <w:r>
        <w:t>.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Valuation</w:t>
      </w:r>
      <w:r>
        <w:t xml:space="preserve"> (25%)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rPr>
          <w:rFonts w:hint="eastAsia"/>
        </w:rPr>
        <w:t xml:space="preserve">Please explain what </w:t>
      </w:r>
      <w:r>
        <w:t>DCF and relative pricing (please provide the main steps) is</w:t>
      </w:r>
      <w:r>
        <w:t xml:space="preserve"> (10%)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t>Please compare</w:t>
      </w:r>
      <w:r>
        <w:t xml:space="preserve"> </w:t>
      </w:r>
      <w:r>
        <w:t>the advantages and disadvantages of DCF and relative pricing</w:t>
      </w:r>
      <w:r>
        <w:t xml:space="preserve"> (10%)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t>Please discuss whether</w:t>
      </w:r>
      <w:r>
        <w:t xml:space="preserve"> paying </w:t>
      </w:r>
      <w:r>
        <w:rPr>
          <w:rFonts w:hint="eastAsia"/>
        </w:rPr>
        <w:t>dividends</w:t>
      </w:r>
      <w:r>
        <w:t xml:space="preserve"> would help boost firm valuation</w:t>
      </w:r>
      <w:r>
        <w:t xml:space="preserve"> (5%)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APT</w:t>
      </w:r>
      <w:r>
        <w:t xml:space="preserve"> (20%)</w:t>
      </w:r>
    </w:p>
    <w:p>
      <w:pPr>
        <w:pStyle w:val="style179"/>
        <w:ind w:left="840" w:firstLine="0" w:firstLineChars="0"/>
        <w:rPr/>
      </w:pPr>
      <w:r>
        <w:t xml:space="preserve">In a </w:t>
      </w:r>
      <w:r>
        <w:t>two-factor</w:t>
      </w:r>
      <w:r>
        <w:t xml:space="preserve"> financial market, we have known the realized return of three assets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</w:t>
      </w:r>
      <w:r>
        <w:t xml:space="preserve">and </w:t>
      </w:r>
      <w:r>
        <w:rPr>
          <w:i/>
        </w:rPr>
        <w:t>C</w:t>
      </w:r>
      <w:r>
        <w:t xml:space="preserve"> as follows:</w:t>
      </w:r>
    </w:p>
    <w:p>
      <w:pPr>
        <w:pStyle w:val="style0"/>
        <w:ind w:firstLine="2310" w:firstLineChars="1100"/>
        <w:rPr/>
      </w:pPr>
      <w:r>
        <w:rPr>
          <w:noProof/>
        </w:rPr>
        <w:drawing>
          <wp:inline distL="0" distT="0" distB="0" distR="0">
            <wp:extent cx="1864747" cy="623206"/>
            <wp:effectExtent l="0" t="0" r="2540" b="5715"/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864747" cy="623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 xml:space="preserve">If an asset </w:t>
      </w:r>
      <w:r>
        <w:t xml:space="preserve">D </w:t>
      </w:r>
      <w:r>
        <w:t xml:space="preserve">has a loading of </w:t>
      </w:r>
      <w:r>
        <w:t>4</w:t>
      </w:r>
      <w:r>
        <w:t xml:space="preserve"> on the factor F</w:t>
      </w:r>
      <w:r>
        <w:rPr>
          <w:vertAlign w:val="subscript"/>
        </w:rPr>
        <w:t>1</w:t>
      </w:r>
      <w:r>
        <w:t xml:space="preserve"> and a loading of </w:t>
      </w:r>
      <w:r>
        <w:t>3</w:t>
      </w:r>
      <w:r>
        <w:t xml:space="preserve"> on the factor F</w:t>
      </w:r>
      <w:r>
        <w:rPr>
          <w:vertAlign w:val="subscript"/>
        </w:rPr>
        <w:t>2</w:t>
      </w:r>
      <w:r>
        <w:t xml:space="preserve">, please </w:t>
      </w:r>
      <w:r>
        <w:t xml:space="preserve">use two methods to </w:t>
      </w:r>
      <w:r>
        <w:t xml:space="preserve">calculate the </w:t>
      </w:r>
      <w:r>
        <w:t>mean return of D.</w:t>
      </w:r>
      <w:r>
        <w:t xml:space="preserve"> </w:t>
      </w:r>
      <w:r>
        <w:t>(10%)</w:t>
      </w:r>
    </w:p>
    <w:p>
      <w:pPr>
        <w:pStyle w:val="style0"/>
        <w:rPr/>
      </w:pP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Fund Managers</w:t>
      </w:r>
      <w:r>
        <w:t xml:space="preserve"> (1</w:t>
      </w:r>
      <w:r>
        <w:t>0%)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t xml:space="preserve">Do you think </w:t>
      </w:r>
      <w:r>
        <w:t>fund managers can outperform the stock market index return in China?  Please provide your thoughts and evidence.</w:t>
      </w:r>
      <w:bookmarkStart w:id="0" w:name="_GoBack"/>
      <w:bookmarkEnd w:id="0"/>
    </w:p>
    <w:p>
      <w:pPr>
        <w:pStyle w:val="style179"/>
        <w:ind w:left="840" w:firstLine="0" w:firstLineChars="0"/>
        <w:rPr/>
      </w:pPr>
    </w:p>
    <w:p>
      <w:pPr>
        <w:pStyle w:val="style179"/>
        <w:numPr>
          <w:ilvl w:val="0"/>
          <w:numId w:val="1"/>
        </w:numPr>
        <w:ind w:firstLineChars="0"/>
        <w:rPr/>
      </w:pPr>
      <w:r>
        <w:rPr>
          <w:rFonts w:hint="eastAsia"/>
        </w:rPr>
        <w:t>Behavioral Finance (10%)</w:t>
      </w:r>
    </w:p>
    <w:p>
      <w:pPr>
        <w:pStyle w:val="style179"/>
        <w:numPr>
          <w:ilvl w:val="1"/>
          <w:numId w:val="1"/>
        </w:numPr>
        <w:ind w:firstLineChars="0"/>
        <w:rPr/>
      </w:pPr>
      <w:r>
        <w:rPr>
          <w:rFonts w:hint="eastAsia"/>
        </w:rPr>
        <w:t xml:space="preserve">Please </w:t>
      </w:r>
      <w:r>
        <w:t>describe</w:t>
      </w:r>
      <w:r>
        <w:rPr>
          <w:rFonts w:hint="eastAsia"/>
        </w:rPr>
        <w:t xml:space="preserve"> two </w:t>
      </w:r>
      <w:r>
        <w:t>behavioral bias</w:t>
      </w:r>
      <w:r>
        <w:t>es</w:t>
      </w:r>
      <w:r>
        <w:t xml:space="preserve"> </w:t>
      </w:r>
      <w:r>
        <w:t>of individual investors</w:t>
      </w:r>
      <w:r>
        <w:t xml:space="preserve"> in </w:t>
      </w:r>
      <w:r>
        <w:t xml:space="preserve">the </w:t>
      </w:r>
      <w:r>
        <w:t>stock market</w:t>
      </w:r>
      <w:r>
        <w:t xml:space="preserve">. </w:t>
      </w:r>
      <w:r>
        <w:t xml:space="preserve">Please discuss the phenomenon, </w:t>
      </w:r>
      <w:r>
        <w:t>explain why it is a bias</w:t>
      </w:r>
      <w:r>
        <w:t xml:space="preserve">, and provide the </w:t>
      </w:r>
      <w:r>
        <w:t xml:space="preserve">psychological </w:t>
      </w:r>
      <w:r>
        <w:t>explanation for</w:t>
      </w:r>
      <w:r>
        <w:t xml:space="preserve"> the bias</w:t>
      </w:r>
      <w:r>
        <w:t>.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E1C196C"/>
    <w:lvl w:ilvl="0" w:tplc="5D748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paragraph" w:styleId="style3">
    <w:name w:val="heading 3"/>
    <w:basedOn w:val="style0"/>
    <w:next w:val="style66"/>
    <w:link w:val="style4099"/>
    <w:qFormat/>
    <w:uiPriority w:val="9"/>
    <w:pPr>
      <w:keepNext/>
      <w:keepLines/>
      <w:widowControl/>
      <w:spacing w:before="200"/>
      <w:jc w:val="left"/>
      <w:outlineLvl w:val="2"/>
    </w:pPr>
    <w:rPr>
      <w:rFonts w:ascii="等线 Light" w:cs="宋体" w:eastAsia="等线 Light" w:hAnsi="等线 Light"/>
      <w:b/>
      <w:bCs/>
      <w:color w:val="5b9bd5"/>
      <w:kern w:val="0"/>
      <w:sz w:val="28"/>
      <w:szCs w:val="28"/>
      <w:lang w:eastAsia="en-US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31">
    <w:name w:val="header"/>
    <w:basedOn w:val="style0"/>
    <w:next w:val="style31"/>
    <w:link w:val="style4097"/>
    <w:uiPriority w:val="99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character" w:customStyle="1" w:styleId="style4097">
    <w:name w:val="页眉 字符"/>
    <w:basedOn w:val="style65"/>
    <w:next w:val="style4097"/>
    <w:link w:val="style31"/>
    <w:uiPriority w:val="99"/>
    <w:rPr>
      <w:sz w:val="18"/>
      <w:szCs w:val="18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character" w:customStyle="1" w:styleId="style4098">
    <w:name w:val="页脚 字符"/>
    <w:basedOn w:val="style65"/>
    <w:next w:val="style4098"/>
    <w:link w:val="style32"/>
    <w:uiPriority w:val="99"/>
    <w:rPr>
      <w:sz w:val="18"/>
      <w:szCs w:val="18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b/>
      <w:bCs/>
      <w:color w:val="5b9bd5"/>
      <w:kern w:val="0"/>
      <w:sz w:val="28"/>
      <w:szCs w:val="28"/>
      <w:lang w:eastAsia="en-US"/>
    </w:rPr>
  </w:style>
  <w:style w:type="paragraph" w:styleId="style62">
    <w:name w:val="Title"/>
    <w:basedOn w:val="style0"/>
    <w:next w:val="style66"/>
    <w:link w:val="style4100"/>
    <w:qFormat/>
    <w:pPr>
      <w:keepNext/>
      <w:keepLines/>
      <w:widowControl/>
      <w:spacing w:before="480" w:after="240"/>
      <w:jc w:val="center"/>
    </w:pPr>
    <w:rPr>
      <w:rFonts w:ascii="等线 Light" w:cs="宋体" w:eastAsia="等线 Light" w:hAnsi="等线 Light"/>
      <w:b/>
      <w:bCs/>
      <w:color w:val="2c6eab"/>
      <w:kern w:val="0"/>
      <w:sz w:val="36"/>
      <w:szCs w:val="36"/>
      <w:lang w:eastAsia="en-US"/>
    </w:rPr>
  </w:style>
  <w:style w:type="character" w:customStyle="1" w:styleId="style4100">
    <w:name w:val="标题 字符"/>
    <w:basedOn w:val="style65"/>
    <w:next w:val="style4100"/>
    <w:link w:val="style62"/>
    <w:rPr>
      <w:rFonts w:ascii="等线 Light" w:cs="宋体" w:eastAsia="等线 Light" w:hAnsi="等线 Light"/>
      <w:b/>
      <w:bCs/>
      <w:color w:val="2c6eab"/>
      <w:kern w:val="0"/>
      <w:sz w:val="36"/>
      <w:szCs w:val="36"/>
      <w:lang w:eastAsia="en-US"/>
    </w:rPr>
  </w:style>
  <w:style w:type="paragraph" w:styleId="style66">
    <w:name w:val="Body Text"/>
    <w:basedOn w:val="style0"/>
    <w:next w:val="style66"/>
    <w:link w:val="style4101"/>
    <w:uiPriority w:val="99"/>
    <w:pPr>
      <w:spacing w:after="120"/>
    </w:pPr>
    <w:rPr/>
  </w:style>
  <w:style w:type="character" w:customStyle="1" w:styleId="style4101">
    <w:name w:val="正文文本 字符"/>
    <w:basedOn w:val="style65"/>
    <w:next w:val="style4101"/>
    <w:link w:val="style66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258</Words>
  <Pages>1</Pages>
  <Characters>1334</Characters>
  <Application>WPS Office</Application>
  <DocSecurity>0</DocSecurity>
  <Paragraphs>25</Paragraphs>
  <ScaleCrop>false</ScaleCrop>
  <LinksUpToDate>false</LinksUpToDate>
  <CharactersWithSpaces>1575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2023-05-08T15:06:00Z</dcterms:created>
  <dc:creator>BJB1200155</dc:creator>
  <lastModifiedBy>WGR-W09</lastModifiedBy>
  <dcterms:modified xsi:type="dcterms:W3CDTF">2023-05-09T02:04:34Z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9046dd528e9c4b9287973e23c594f5b4_23</vt:lpwstr>
  </property>
</Properties>
</file>