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C555" w14:textId="0ACCCD45" w:rsidR="00954F97" w:rsidRDefault="00372B7B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文杰</w:t>
      </w:r>
      <w:r w:rsidR="00E43373">
        <w:rPr>
          <w:rFonts w:ascii="Helvetica" w:hAnsi="Helvetica"/>
          <w:sz w:val="24"/>
          <w:szCs w:val="24"/>
          <w:lang w:eastAsia="zh-CN"/>
        </w:rPr>
        <w:t xml:space="preserve"> (1</w:t>
      </w:r>
      <w:r>
        <w:rPr>
          <w:rFonts w:ascii="Helvetica" w:eastAsiaTheme="minorEastAsia" w:hAnsi="Helvetica" w:hint="eastAsia"/>
          <w:sz w:val="24"/>
          <w:szCs w:val="24"/>
          <w:lang w:eastAsia="zh-CN"/>
        </w:rPr>
        <w:t>23090612</w:t>
      </w:r>
      <w:r w:rsidR="00E43373">
        <w:rPr>
          <w:rFonts w:ascii="Helvetica" w:hAnsi="Helvetica"/>
          <w:sz w:val="24"/>
          <w:szCs w:val="24"/>
          <w:lang w:eastAsia="zh-CN"/>
        </w:rPr>
        <w:t>)</w:t>
      </w:r>
    </w:p>
    <w:p w14:paraId="2763C556" w14:textId="77777777" w:rsidR="00954F97" w:rsidRDefault="00E43373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Helvetica" w:hAnsi="Helvetica"/>
          <w:sz w:val="24"/>
          <w:szCs w:val="24"/>
          <w:lang w:eastAsia="zh-CN"/>
        </w:rPr>
        <w:t xml:space="preserve">GFN1000 </w:t>
      </w:r>
      <w:r>
        <w:rPr>
          <w:rFonts w:ascii="宋体" w:eastAsia="宋体" w:hAnsi="宋体" w:cs="宋体"/>
          <w:sz w:val="24"/>
          <w:szCs w:val="24"/>
          <w:lang w:eastAsia="zh-CN"/>
        </w:rPr>
        <w:t>与自然对话</w:t>
      </w:r>
    </w:p>
    <w:p w14:paraId="2763C557" w14:textId="4C7D9930" w:rsidR="00954F97" w:rsidRDefault="00E43373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Helvetica" w:hAnsi="Helvetica"/>
          <w:sz w:val="24"/>
          <w:szCs w:val="24"/>
          <w:lang w:eastAsia="zh-CN"/>
        </w:rPr>
        <w:t>20</w:t>
      </w:r>
      <w:r w:rsidR="00372B7B">
        <w:rPr>
          <w:rFonts w:ascii="Helvetica" w:eastAsiaTheme="minorEastAsia" w:hAnsi="Helvetica" w:hint="eastAsia"/>
          <w:sz w:val="24"/>
          <w:szCs w:val="24"/>
          <w:lang w:eastAsia="zh-CN"/>
        </w:rPr>
        <w:t>25</w:t>
      </w:r>
      <w:r>
        <w:rPr>
          <w:rFonts w:ascii="宋体" w:eastAsia="宋体" w:hAnsi="宋体" w:cs="宋体"/>
          <w:sz w:val="24"/>
          <w:szCs w:val="24"/>
          <w:lang w:eastAsia="zh-CN"/>
        </w:rPr>
        <w:t>年</w:t>
      </w:r>
      <w:r w:rsidR="00372B7B">
        <w:rPr>
          <w:rFonts w:ascii="Helvetica" w:eastAsiaTheme="minorEastAsia" w:hAnsi="Helvetica" w:hint="eastAsia"/>
          <w:sz w:val="24"/>
          <w:szCs w:val="24"/>
          <w:lang w:eastAsia="zh-CN"/>
        </w:rPr>
        <w:t>3</w:t>
      </w:r>
      <w:r>
        <w:rPr>
          <w:rFonts w:ascii="宋体" w:eastAsia="宋体" w:hAnsi="宋体" w:cs="宋体"/>
          <w:sz w:val="24"/>
          <w:szCs w:val="24"/>
          <w:lang w:eastAsia="zh-CN"/>
        </w:rPr>
        <w:t>月</w:t>
      </w:r>
      <w:r w:rsidR="00372B7B">
        <w:rPr>
          <w:rFonts w:ascii="Helvetica" w:eastAsiaTheme="minorEastAsia" w:hAnsi="Helvetica" w:hint="eastAsia"/>
          <w:sz w:val="24"/>
          <w:szCs w:val="24"/>
          <w:lang w:eastAsia="zh-CN"/>
        </w:rPr>
        <w:t>9</w:t>
      </w:r>
      <w:r>
        <w:rPr>
          <w:rFonts w:ascii="宋体" w:eastAsia="宋体" w:hAnsi="宋体" w:cs="宋体"/>
          <w:sz w:val="24"/>
          <w:szCs w:val="24"/>
          <w:lang w:eastAsia="zh-CN"/>
        </w:rPr>
        <w:t>日</w:t>
      </w:r>
      <w:r>
        <w:rPr>
          <w:rFonts w:ascii="Helvetica" w:hAnsi="Helvetica"/>
          <w:sz w:val="24"/>
          <w:szCs w:val="24"/>
          <w:lang w:eastAsia="zh-CN"/>
        </w:rPr>
        <w:t xml:space="preserve">                               </w:t>
      </w:r>
      <w:r>
        <w:rPr>
          <w:rFonts w:ascii="Helvetica" w:hAnsi="Helvetica"/>
          <w:sz w:val="24"/>
          <w:szCs w:val="24"/>
          <w:lang w:eastAsia="zh-CN"/>
        </w:rPr>
        <w:br/>
      </w:r>
    </w:p>
    <w:p w14:paraId="2763C558" w14:textId="4EA87F1D" w:rsidR="00954F97" w:rsidRPr="009A092F" w:rsidRDefault="009A092F">
      <w:pPr>
        <w:pStyle w:val="Body"/>
        <w:spacing w:line="480" w:lineRule="auto"/>
        <w:jc w:val="center"/>
        <w:rPr>
          <w:rFonts w:ascii="Helvetica" w:eastAsiaTheme="minorEastAsia" w:hAnsi="Helvetica" w:cs="Helvetica" w:hint="eastAsia"/>
          <w:sz w:val="24"/>
          <w:szCs w:val="24"/>
          <w:lang w:eastAsia="zh-CN"/>
        </w:rPr>
      </w:pPr>
      <w:r>
        <w:rPr>
          <w:rFonts w:asciiTheme="minorEastAsia" w:eastAsiaTheme="minorEastAsia" w:hAnsiTheme="minorEastAsia" w:cs="Helvetica" w:hint="eastAsia"/>
          <w:sz w:val="24"/>
          <w:szCs w:val="24"/>
          <w:lang w:eastAsia="zh-CN"/>
        </w:rPr>
        <w:t>题目</w:t>
      </w:r>
      <w:r w:rsidRPr="009A092F">
        <w:rPr>
          <w:rFonts w:ascii="Times New Roman" w:eastAsiaTheme="minorEastAsia" w:hAnsi="Times New Roman" w:cs="Times New Roman"/>
          <w:sz w:val="24"/>
          <w:szCs w:val="24"/>
          <w:lang w:eastAsia="zh-CN"/>
        </w:rPr>
        <w:t>2</w:t>
      </w:r>
    </w:p>
    <w:p w14:paraId="12802FBB" w14:textId="0337C5D7" w:rsidR="009A092F" w:rsidRDefault="009A092F" w:rsidP="00185DC2">
      <w:pPr>
        <w:pStyle w:val="Body"/>
        <w:spacing w:line="480" w:lineRule="auto"/>
        <w:ind w:firstLine="720"/>
        <w:outlineLvl w:val="0"/>
        <w:rPr>
          <w:rFonts w:ascii="宋体" w:eastAsia="宋体" w:hAnsi="宋体" w:cs="宋体"/>
          <w:sz w:val="24"/>
          <w:szCs w:val="24"/>
          <w:lang w:eastAsia="zh-CN"/>
        </w:rPr>
      </w:pP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课本《与自然对话》始于柏拉图的“洞穴寓言”而非传统地以介绍亚里士多德的贡献开篇，此安排不仅遵从了客观的历史顺序，更反映了哲学、教学和主题上的多重考量。</w:t>
      </w:r>
    </w:p>
    <w:p w14:paraId="0ABE32A2" w14:textId="77777777" w:rsidR="00D51748" w:rsidRPr="00D51748" w:rsidRDefault="00D51748" w:rsidP="00D51748">
      <w:pPr>
        <w:pStyle w:val="Body"/>
        <w:spacing w:line="480" w:lineRule="auto"/>
        <w:outlineLvl w:val="0"/>
        <w:rPr>
          <w:rFonts w:ascii="宋体" w:eastAsia="宋体" w:hAnsi="宋体" w:cs="宋体"/>
          <w:b/>
          <w:bCs/>
          <w:sz w:val="24"/>
          <w:szCs w:val="24"/>
          <w:lang w:eastAsia="zh-CN"/>
        </w:rPr>
      </w:pPr>
      <w:r w:rsidRPr="00D51748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以通俗叙事吸引读者</w:t>
      </w:r>
    </w:p>
    <w:p w14:paraId="0460A59D" w14:textId="7A39F21A" w:rsidR="00D51748" w:rsidRPr="009A092F" w:rsidRDefault="00D51748" w:rsidP="009A092F">
      <w:pPr>
        <w:pStyle w:val="Body"/>
        <w:spacing w:line="480" w:lineRule="auto"/>
        <w:ind w:firstLine="720"/>
        <w:rPr>
          <w:rFonts w:ascii="宋体" w:eastAsia="宋体" w:hAnsi="宋体" w:cs="宋体" w:hint="eastAsia"/>
          <w:sz w:val="24"/>
          <w:szCs w:val="24"/>
        </w:rPr>
      </w:pP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洞穴寓言是一个关于人类处境的易于理解的故事</w:t>
      </w:r>
      <w:r w:rsidR="00A91C2C">
        <w:rPr>
          <w:rFonts w:ascii="宋体" w:eastAsia="宋体" w:hAnsi="宋体" w:cs="宋体" w:hint="eastAsia"/>
          <w:sz w:val="24"/>
          <w:szCs w:val="24"/>
          <w:lang w:eastAsia="zh-CN"/>
        </w:rPr>
        <w:t>：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我们努力理解</w:t>
      </w:r>
      <w:r w:rsidR="00A91C2C">
        <w:rPr>
          <w:rFonts w:ascii="宋体" w:eastAsia="宋体" w:hAnsi="宋体" w:cs="宋体" w:hint="eastAsia"/>
          <w:sz w:val="24"/>
          <w:szCs w:val="24"/>
          <w:lang w:eastAsia="zh-CN"/>
        </w:rPr>
        <w:t>并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意欲超越感知世界。它具有普遍性和启发性，是吸引读者、尤其是科学史初学者的理想切入点。相比之下，亚里士多德的系统分类和经验方法尽管确实重要，但作为开篇未免显得枯燥或过于技术性。</w:t>
      </w:r>
    </w:p>
    <w:p w14:paraId="5AB3DAF2" w14:textId="77777777" w:rsidR="009A092F" w:rsidRPr="00D51748" w:rsidRDefault="009A092F" w:rsidP="00D51748">
      <w:pPr>
        <w:pStyle w:val="Body"/>
        <w:spacing w:line="480" w:lineRule="auto"/>
        <w:outlineLvl w:val="0"/>
        <w:rPr>
          <w:rFonts w:ascii="宋体" w:eastAsia="宋体" w:hAnsi="宋体" w:cs="宋体"/>
          <w:b/>
          <w:bCs/>
          <w:sz w:val="24"/>
          <w:szCs w:val="24"/>
          <w:lang w:eastAsia="zh-CN"/>
        </w:rPr>
      </w:pPr>
      <w:r w:rsidRPr="00D51748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强调了科学的哲学基础</w:t>
      </w:r>
    </w:p>
    <w:p w14:paraId="40E350BA" w14:textId="77777777" w:rsidR="009A092F" w:rsidRPr="009A092F" w:rsidRDefault="009A092F" w:rsidP="009A092F">
      <w:pPr>
        <w:pStyle w:val="Body"/>
        <w:spacing w:line="480" w:lineRule="auto"/>
        <w:ind w:firstLine="720"/>
        <w:rPr>
          <w:rFonts w:ascii="宋体" w:eastAsia="宋体" w:hAnsi="宋体" w:cs="宋体"/>
          <w:sz w:val="24"/>
          <w:szCs w:val="24"/>
          <w:lang w:eastAsia="zh-CN"/>
        </w:rPr>
      </w:pP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洞穴寓言描绘了从感官世界（洞壁上的影子）到理念世界（被太阳照亮的外部世界）的旅程。此过程强调，寻求真知需要超越表象、探寻更深层次的现实。而亚里士多德的重点则在于对自然的感官经验和系统的研究方法。两相比较可见，科学的核心与洞穴寓言的过程相呼应——通过证据和理性质疑感知，寻求潜在的真理。课本自洞穴寓言始，阐释了科学不仅重视经验观察（亚里士多德的论点）、更需要挑战我们所认为的常识。</w:t>
      </w:r>
    </w:p>
    <w:p w14:paraId="6B9CCF1A" w14:textId="77777777" w:rsidR="009A092F" w:rsidRPr="00D51748" w:rsidRDefault="009A092F" w:rsidP="00D51748">
      <w:pPr>
        <w:pStyle w:val="Body"/>
        <w:spacing w:line="480" w:lineRule="auto"/>
        <w:outlineLvl w:val="0"/>
        <w:rPr>
          <w:rFonts w:ascii="宋体" w:eastAsia="宋体" w:hAnsi="宋体" w:cs="宋体"/>
          <w:b/>
          <w:bCs/>
          <w:sz w:val="24"/>
          <w:szCs w:val="24"/>
          <w:lang w:eastAsia="zh-CN"/>
        </w:rPr>
      </w:pPr>
      <w:r w:rsidRPr="00D51748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lastRenderedPageBreak/>
        <w:t>契合主题：与自然的对话</w:t>
      </w:r>
    </w:p>
    <w:p w14:paraId="79C208FC" w14:textId="4970233A" w:rsidR="009A092F" w:rsidRPr="009A092F" w:rsidRDefault="009A092F" w:rsidP="009A092F">
      <w:pPr>
        <w:pStyle w:val="Body"/>
        <w:spacing w:line="480" w:lineRule="auto"/>
        <w:ind w:firstLine="720"/>
        <w:rPr>
          <w:rFonts w:ascii="宋体" w:eastAsia="宋体" w:hAnsi="宋体" w:cs="宋体"/>
          <w:sz w:val="24"/>
          <w:szCs w:val="24"/>
          <w:lang w:eastAsia="zh-CN"/>
        </w:rPr>
      </w:pP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课本《与自然对话》以科学思想的历史演变为中心，探索人类如何通过哲学（次要）和科学（主要）与自然世界互动并产生理解。洞穴寓言正体现了这一概念：囚犯逃出洞穴、质疑影子，最终通过与现实对话揭示真理。这一反思过程与教科书的主题一致：科学不仅是观察和事实的收集，更应是涉及批判性思维和发现的与自然的对话。以及，从洞穴寓言开始，奠定了教科书的一个核心问题：现实的本质是什么</w:t>
      </w:r>
      <w:r w:rsidR="00BB33AF">
        <w:rPr>
          <w:rFonts w:ascii="宋体" w:eastAsia="宋体" w:hAnsi="宋体" w:cs="宋体" w:hint="eastAsia"/>
          <w:sz w:val="24"/>
          <w:szCs w:val="24"/>
          <w:lang w:eastAsia="zh-CN"/>
        </w:rPr>
        <w:t>、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我们如何认识它？柏拉图的作品</w:t>
      </w:r>
      <w:r w:rsidR="00BB33AF">
        <w:rPr>
          <w:rFonts w:ascii="宋体" w:eastAsia="宋体" w:hAnsi="宋体" w:cs="宋体" w:hint="eastAsia"/>
          <w:sz w:val="24"/>
          <w:szCs w:val="24"/>
          <w:lang w:eastAsia="zh-CN"/>
        </w:rPr>
        <w:t>定立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了反思的基调，鼓励读者质疑假设、质疑常识并探求更深层次的真理——正如囚犯走出洞穴的旅程。</w:t>
      </w:r>
    </w:p>
    <w:p w14:paraId="1E4DA01E" w14:textId="77777777" w:rsidR="009A092F" w:rsidRPr="00D51748" w:rsidRDefault="009A092F" w:rsidP="00D51748">
      <w:pPr>
        <w:pStyle w:val="Body"/>
        <w:spacing w:line="480" w:lineRule="auto"/>
        <w:outlineLvl w:val="0"/>
        <w:rPr>
          <w:rFonts w:ascii="宋体" w:eastAsia="宋体" w:hAnsi="宋体" w:cs="宋体"/>
          <w:b/>
          <w:bCs/>
          <w:sz w:val="24"/>
          <w:szCs w:val="24"/>
          <w:lang w:eastAsia="zh-CN"/>
        </w:rPr>
      </w:pPr>
      <w:r w:rsidRPr="00D51748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追溯思想的演变</w:t>
      </w:r>
    </w:p>
    <w:p w14:paraId="23046E66" w14:textId="77777777" w:rsidR="009A092F" w:rsidRPr="009A092F" w:rsidRDefault="009A092F" w:rsidP="009A092F">
      <w:pPr>
        <w:pStyle w:val="Body"/>
        <w:spacing w:line="480" w:lineRule="auto"/>
        <w:ind w:firstLine="720"/>
        <w:rPr>
          <w:rFonts w:ascii="宋体" w:eastAsia="宋体" w:hAnsi="宋体" w:cs="宋体"/>
          <w:sz w:val="24"/>
          <w:szCs w:val="24"/>
          <w:lang w:eastAsia="zh-CN"/>
        </w:rPr>
      </w:pP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历史上，柏拉图</w:t>
      </w:r>
      <w:r w:rsidRPr="009A092F">
        <w:rPr>
          <w:rFonts w:ascii="Times New Roman" w:eastAsia="宋体" w:hAnsi="Times New Roman" w:cs="Times New Roman"/>
          <w:sz w:val="24"/>
          <w:szCs w:val="24"/>
          <w:lang w:eastAsia="zh-CN"/>
        </w:rPr>
        <w:t>(427 BC – 348/47 BC)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早于其学生亚里士多德</w:t>
      </w:r>
      <w:r w:rsidRPr="009A092F">
        <w:rPr>
          <w:rFonts w:ascii="Times New Roman" w:eastAsia="宋体" w:hAnsi="Times New Roman" w:cs="Times New Roman"/>
          <w:sz w:val="24"/>
          <w:szCs w:val="24"/>
          <w:lang w:eastAsia="zh-CN"/>
        </w:rPr>
        <w:t>(384 BC – 322 BC)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，故以柏拉图的寓言开篇符合年代顺序。更重要的是，如此安排展现了哲学探究到科学实践的概念演变：柏拉图关于现实和知识的观念奠定了基础，亚里士多德在此基础上发展了经验方法；柏拉图自上而下追求永恒真理，与亚里士多德自下而上依赖可观察现象形成对比；柏拉图敦促我们超越感官，而亚里士多德将知识锚定于感官。从柏拉图开始，教科书展现了科学思想如何从哲学根源中萌芽，为亚里士多德的进一步贡献提供了背景。而第三篇文本所展示的牛顿的成就则是建立在两位前辈之上——柏拉图超越表象寻求真理的号召在牛顿的物理法则中得以实现、这些法则揭示了支配宇宙的无形力量；亚里士多德的经验基础则支持了牛顿对科学观察方法的使用、并通过数学精度加以完善。故而，牛顿整合了哲学反思与系统研究，代表了与自然对话的高峰。</w:t>
      </w:r>
    </w:p>
    <w:p w14:paraId="2763C55A" w14:textId="37EB672C" w:rsidR="00954F97" w:rsidRDefault="009A092F" w:rsidP="00185DC2">
      <w:pPr>
        <w:pStyle w:val="Body"/>
        <w:spacing w:line="480" w:lineRule="auto"/>
        <w:ind w:firstLine="720"/>
        <w:outlineLvl w:val="0"/>
        <w:rPr>
          <w:rFonts w:ascii="Helvetica" w:eastAsia="Helvetica" w:hAnsi="Helvetica" w:cs="Helvetica"/>
          <w:sz w:val="24"/>
          <w:szCs w:val="24"/>
          <w:lang w:eastAsia="zh-CN"/>
        </w:rPr>
      </w:pP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lastRenderedPageBreak/>
        <w:t>综上，</w:t>
      </w:r>
      <w:r w:rsidR="00D51748">
        <w:rPr>
          <w:rFonts w:ascii="宋体" w:eastAsia="宋体" w:hAnsi="宋体" w:cs="宋体" w:hint="eastAsia"/>
          <w:sz w:val="24"/>
          <w:szCs w:val="24"/>
          <w:lang w:eastAsia="zh-CN"/>
        </w:rPr>
        <w:t>课本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《与自然对话》选择以柏拉图的“洞穴寓言”开篇是</w:t>
      </w:r>
      <w:r w:rsidR="00D51748">
        <w:rPr>
          <w:rFonts w:ascii="宋体" w:eastAsia="宋体" w:hAnsi="宋体" w:cs="宋体" w:hint="eastAsia"/>
          <w:sz w:val="24"/>
          <w:szCs w:val="24"/>
          <w:lang w:eastAsia="zh-CN"/>
        </w:rPr>
        <w:t>深刻且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深思熟虑的。它</w:t>
      </w:r>
      <w:r w:rsidR="00CA6A61">
        <w:rPr>
          <w:rFonts w:ascii="宋体" w:eastAsia="宋体" w:hAnsi="宋体" w:cs="宋体" w:hint="eastAsia"/>
          <w:sz w:val="24"/>
          <w:szCs w:val="24"/>
          <w:lang w:eastAsia="zh-CN"/>
        </w:rPr>
        <w:t>富有趣味性、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将科学之旅植根于哲学质疑</w:t>
      </w:r>
      <w:r w:rsidR="00CA6A61">
        <w:rPr>
          <w:rFonts w:ascii="宋体" w:eastAsia="宋体" w:hAnsi="宋体" w:cs="宋体" w:hint="eastAsia"/>
          <w:sz w:val="24"/>
          <w:szCs w:val="24"/>
          <w:lang w:eastAsia="zh-CN"/>
        </w:rPr>
        <w:t>、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反映了思想的历史进程，</w:t>
      </w:r>
      <w:r w:rsidR="00D51748">
        <w:rPr>
          <w:rFonts w:ascii="宋体" w:eastAsia="宋体" w:hAnsi="宋体" w:cs="宋体" w:hint="eastAsia"/>
          <w:sz w:val="24"/>
          <w:szCs w:val="24"/>
          <w:lang w:eastAsia="zh-CN"/>
        </w:rPr>
        <w:t>更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体现了教科书</w:t>
      </w:r>
      <w:r w:rsidR="00CA6A61">
        <w:rPr>
          <w:rFonts w:ascii="宋体" w:eastAsia="宋体" w:hAnsi="宋体" w:cs="宋体" w:hint="eastAsia"/>
          <w:sz w:val="24"/>
          <w:szCs w:val="24"/>
          <w:lang w:eastAsia="zh-CN"/>
        </w:rPr>
        <w:t>“</w:t>
      </w:r>
      <w:r w:rsidR="00CA6A61" w:rsidRPr="009A092F">
        <w:rPr>
          <w:rFonts w:ascii="宋体" w:eastAsia="宋体" w:hAnsi="宋体" w:cs="宋体" w:hint="eastAsia"/>
          <w:sz w:val="24"/>
          <w:szCs w:val="24"/>
          <w:lang w:eastAsia="zh-CN"/>
        </w:rPr>
        <w:t>与自然反思性互动</w:t>
      </w:r>
      <w:r w:rsidR="00CA6A61">
        <w:rPr>
          <w:rFonts w:ascii="宋体" w:eastAsia="宋体" w:hAnsi="宋体" w:cs="宋体" w:hint="eastAsia"/>
          <w:sz w:val="24"/>
          <w:szCs w:val="24"/>
          <w:lang w:eastAsia="zh-CN"/>
        </w:rPr>
        <w:t>”</w:t>
      </w:r>
      <w:r w:rsidRPr="009A092F">
        <w:rPr>
          <w:rFonts w:ascii="宋体" w:eastAsia="宋体" w:hAnsi="宋体" w:cs="宋体" w:hint="eastAsia"/>
          <w:sz w:val="24"/>
          <w:szCs w:val="24"/>
          <w:lang w:eastAsia="zh-CN"/>
        </w:rPr>
        <w:t>的主题。</w:t>
      </w:r>
      <w:bookmarkStart w:id="0" w:name="OLE_LINK2"/>
    </w:p>
    <w:p w14:paraId="2763C562" w14:textId="12C9471E" w:rsidR="00954F97" w:rsidRPr="009A092F" w:rsidRDefault="00E43373" w:rsidP="009A092F">
      <w:pPr>
        <w:pStyle w:val="Body"/>
        <w:spacing w:line="480" w:lineRule="auto"/>
        <w:ind w:firstLine="720"/>
        <w:rPr>
          <w:rFonts w:ascii="Helvetica" w:eastAsiaTheme="minorEastAsia" w:hAnsi="Helvetica" w:cs="Helvetica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（总字数：</w:t>
      </w:r>
      <w:r w:rsidR="00F04144">
        <w:rPr>
          <w:rFonts w:ascii="Helvetica" w:eastAsiaTheme="minorEastAsia" w:hAnsi="Helvetica" w:hint="eastAsia"/>
          <w:sz w:val="24"/>
          <w:szCs w:val="24"/>
          <w:lang w:eastAsia="zh-CN"/>
        </w:rPr>
        <w:t>1100</w:t>
      </w:r>
      <w:r>
        <w:rPr>
          <w:rFonts w:ascii="宋体" w:eastAsia="宋体" w:hAnsi="宋体" w:cs="宋体"/>
          <w:sz w:val="24"/>
          <w:szCs w:val="24"/>
          <w:lang w:eastAsia="zh-CN"/>
        </w:rPr>
        <w:t>）</w:t>
      </w:r>
      <w:bookmarkEnd w:id="0"/>
    </w:p>
    <w:sectPr w:rsidR="00954F97" w:rsidRPr="009A09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2EF4B" w14:textId="77777777" w:rsidR="00917259" w:rsidRDefault="00917259">
      <w:r>
        <w:separator/>
      </w:r>
    </w:p>
  </w:endnote>
  <w:endnote w:type="continuationSeparator" w:id="0">
    <w:p w14:paraId="2EEF706C" w14:textId="77777777" w:rsidR="00917259" w:rsidRDefault="00917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AA01" w14:textId="77777777" w:rsidR="00372B7B" w:rsidRDefault="00372B7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C564" w14:textId="77777777" w:rsidR="00954F97" w:rsidRDefault="00954F97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731F" w14:textId="77777777" w:rsidR="00372B7B" w:rsidRDefault="00372B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367AE" w14:textId="77777777" w:rsidR="00917259" w:rsidRDefault="00917259">
      <w:r>
        <w:separator/>
      </w:r>
    </w:p>
  </w:footnote>
  <w:footnote w:type="continuationSeparator" w:id="0">
    <w:p w14:paraId="72D71667" w14:textId="77777777" w:rsidR="00917259" w:rsidRDefault="00917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CF9F" w14:textId="77777777" w:rsidR="00372B7B" w:rsidRDefault="00372B7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C563" w14:textId="14F09E64" w:rsidR="00954F97" w:rsidRDefault="00372B7B">
    <w:pPr>
      <w:pStyle w:val="a4"/>
      <w:jc w:val="right"/>
    </w:pPr>
    <w:r>
      <w:rPr>
        <w:rFonts w:ascii="宋体" w:eastAsia="宋体" w:hAnsi="宋体" w:cs="宋体" w:hint="eastAsia"/>
        <w:sz w:val="20"/>
        <w:szCs w:val="20"/>
      </w:rPr>
      <w:t>文</w: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begin"/>
    </w:r>
    <w:r w:rsidR="00E43373">
      <w:rPr>
        <w:rFonts w:ascii="Times New Roman" w:eastAsia="Times New Roman" w:hAnsi="Times New Roman" w:cs="Times New Roman"/>
        <w:sz w:val="20"/>
        <w:szCs w:val="20"/>
      </w:rPr>
      <w:instrText xml:space="preserve"> PAGE </w:instrTex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E43373">
      <w:rPr>
        <w:rFonts w:ascii="Times New Roman" w:eastAsia="Times New Roman" w:hAnsi="Times New Roman" w:cs="Times New Roman"/>
        <w:sz w:val="20"/>
        <w:szCs w:val="20"/>
      </w:rPr>
      <w:t>1</w: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824E" w14:textId="77777777" w:rsidR="00372B7B" w:rsidRDefault="00372B7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F97"/>
    <w:rsid w:val="000F4E9C"/>
    <w:rsid w:val="00185DC2"/>
    <w:rsid w:val="00255570"/>
    <w:rsid w:val="002B026E"/>
    <w:rsid w:val="00372B7B"/>
    <w:rsid w:val="003761CB"/>
    <w:rsid w:val="003B4057"/>
    <w:rsid w:val="00854BE3"/>
    <w:rsid w:val="00917259"/>
    <w:rsid w:val="00954F97"/>
    <w:rsid w:val="00974DCA"/>
    <w:rsid w:val="009A092F"/>
    <w:rsid w:val="00A91C2C"/>
    <w:rsid w:val="00BB33AF"/>
    <w:rsid w:val="00CA6A61"/>
    <w:rsid w:val="00D51748"/>
    <w:rsid w:val="00DE5AED"/>
    <w:rsid w:val="00E43373"/>
    <w:rsid w:val="00F0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3C555"/>
  <w15:docId w15:val="{D5E95A7C-9696-4168-9755-89FBF574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styleId="a4">
    <w:name w:val="header"/>
    <w:pPr>
      <w:tabs>
        <w:tab w:val="center" w:pos="4320"/>
        <w:tab w:val="right" w:pos="8640"/>
      </w:tabs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zh-TW" w:eastAsia="zh-TW"/>
    </w:rPr>
  </w:style>
  <w:style w:type="paragraph" w:styleId="a5">
    <w:name w:val="footer"/>
    <w:basedOn w:val="a"/>
    <w:link w:val="a6"/>
    <w:uiPriority w:val="99"/>
    <w:unhideWhenUsed/>
    <w:rsid w:val="00372B7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2B7B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Menger Gilmour</dc:creator>
  <cp:lastModifiedBy>Menger Gilmour</cp:lastModifiedBy>
  <cp:revision>11</cp:revision>
  <dcterms:created xsi:type="dcterms:W3CDTF">2025-03-09T04:50:00Z</dcterms:created>
  <dcterms:modified xsi:type="dcterms:W3CDTF">2025-03-09T14:11:00Z</dcterms:modified>
</cp:coreProperties>
</file>