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4623D" w14:textId="77777777" w:rsidR="008927A9" w:rsidRPr="008927A9" w:rsidRDefault="008927A9" w:rsidP="00394496">
      <w:pPr>
        <w:jc w:val="center"/>
        <w:rPr>
          <w:b/>
          <w:bCs/>
          <w:sz w:val="22"/>
          <w:szCs w:val="22"/>
        </w:rPr>
      </w:pPr>
      <w:r w:rsidRPr="008927A9">
        <w:rPr>
          <w:b/>
          <w:bCs/>
          <w:sz w:val="22"/>
          <w:szCs w:val="22"/>
        </w:rPr>
        <w:t>Stablecoins at the Core of DeFi: Mechanisms, Risks, and the Search for Stability</w:t>
      </w:r>
    </w:p>
    <w:p w14:paraId="69B5A02C" w14:textId="04164ADF" w:rsidR="008927A9" w:rsidRPr="008927A9" w:rsidRDefault="008927A9" w:rsidP="008927A9">
      <w:pPr>
        <w:rPr>
          <w:sz w:val="22"/>
          <w:szCs w:val="22"/>
        </w:rPr>
      </w:pPr>
      <w:r w:rsidRPr="008927A9">
        <w:rPr>
          <w:sz w:val="22"/>
          <w:szCs w:val="22"/>
        </w:rPr>
        <w:t xml:space="preserve">A stablecoin is a cryptoasset engineered to track a target value </w:t>
      </w:r>
      <w:r w:rsidR="00394496">
        <w:rPr>
          <w:rFonts w:hint="eastAsia"/>
          <w:sz w:val="22"/>
          <w:szCs w:val="22"/>
        </w:rPr>
        <w:t>(</w:t>
      </w:r>
      <w:r w:rsidRPr="008927A9">
        <w:rPr>
          <w:sz w:val="22"/>
          <w:szCs w:val="22"/>
        </w:rPr>
        <w:t>typically one US dollar</w:t>
      </w:r>
      <w:r w:rsidR="00394496">
        <w:rPr>
          <w:rFonts w:hint="eastAsia"/>
          <w:sz w:val="22"/>
          <w:szCs w:val="22"/>
        </w:rPr>
        <w:t>)</w:t>
      </w:r>
      <w:r w:rsidRPr="008927A9">
        <w:rPr>
          <w:sz w:val="22"/>
          <w:szCs w:val="22"/>
        </w:rPr>
        <w:t>. It underpins DeFi by providing a low-volatility unit of account, a collateral asset for lending and derivatives and a settlement asset for trading protocols</w:t>
      </w:r>
      <w:r w:rsidR="00854299" w:rsidRPr="00854299">
        <w:rPr>
          <w:sz w:val="22"/>
          <w:szCs w:val="22"/>
          <w:vertAlign w:val="superscript"/>
        </w:rPr>
        <w:fldChar w:fldCharType="begin"/>
      </w:r>
      <w:r w:rsidR="00854299" w:rsidRPr="00854299">
        <w:rPr>
          <w:sz w:val="22"/>
          <w:szCs w:val="22"/>
          <w:vertAlign w:val="superscript"/>
        </w:rPr>
        <w:instrText xml:space="preserve"> REF _Ref215766038 \r \h </w:instrText>
      </w:r>
      <w:r w:rsidR="00854299">
        <w:rPr>
          <w:sz w:val="22"/>
          <w:szCs w:val="22"/>
          <w:vertAlign w:val="superscript"/>
        </w:rPr>
        <w:instrText xml:space="preserve"> \* MERGEFORMAT </w:instrText>
      </w:r>
      <w:r w:rsidR="00854299" w:rsidRPr="00854299">
        <w:rPr>
          <w:sz w:val="22"/>
          <w:szCs w:val="22"/>
          <w:vertAlign w:val="superscript"/>
        </w:rPr>
      </w:r>
      <w:r w:rsidR="00854299" w:rsidRPr="00854299">
        <w:rPr>
          <w:sz w:val="22"/>
          <w:szCs w:val="22"/>
          <w:vertAlign w:val="superscript"/>
        </w:rPr>
        <w:fldChar w:fldCharType="separate"/>
      </w:r>
      <w:r w:rsidR="00EE2D41">
        <w:rPr>
          <w:sz w:val="22"/>
          <w:szCs w:val="22"/>
          <w:vertAlign w:val="superscript"/>
        </w:rPr>
        <w:t>[1]</w:t>
      </w:r>
      <w:r w:rsidR="00854299" w:rsidRPr="00854299">
        <w:rPr>
          <w:sz w:val="22"/>
          <w:szCs w:val="22"/>
          <w:vertAlign w:val="superscript"/>
        </w:rPr>
        <w:fldChar w:fldCharType="end"/>
      </w:r>
      <w:r w:rsidRPr="008927A9">
        <w:rPr>
          <w:sz w:val="22"/>
          <w:szCs w:val="22"/>
        </w:rPr>
        <w:t xml:space="preserve">. </w:t>
      </w:r>
      <w:r w:rsidR="00394496">
        <w:rPr>
          <w:rFonts w:hint="eastAsia"/>
          <w:sz w:val="22"/>
          <w:szCs w:val="22"/>
        </w:rPr>
        <w:t>M</w:t>
      </w:r>
      <w:r w:rsidRPr="008927A9">
        <w:rPr>
          <w:sz w:val="22"/>
          <w:szCs w:val="22"/>
        </w:rPr>
        <w:t>ost decentralized exchanges quote pairs against dollar-pegged coins</w:t>
      </w:r>
      <w:r w:rsidR="00394496">
        <w:rPr>
          <w:rFonts w:hint="eastAsia"/>
          <w:sz w:val="22"/>
          <w:szCs w:val="22"/>
        </w:rPr>
        <w:t>,</w:t>
      </w:r>
      <w:r w:rsidRPr="008927A9">
        <w:rPr>
          <w:sz w:val="22"/>
          <w:szCs w:val="22"/>
        </w:rPr>
        <w:t xml:space="preserve"> lending protocols such as MakerDAO and Aave denominate loans in stablecoins</w:t>
      </w:r>
      <w:r w:rsidR="00394496">
        <w:rPr>
          <w:rFonts w:hint="eastAsia"/>
          <w:sz w:val="22"/>
          <w:szCs w:val="22"/>
        </w:rPr>
        <w:t>,</w:t>
      </w:r>
      <w:r w:rsidRPr="008927A9">
        <w:rPr>
          <w:sz w:val="22"/>
          <w:szCs w:val="22"/>
        </w:rPr>
        <w:t xml:space="preserve"> and on-chain derivatives often settle in them</w:t>
      </w:r>
      <w:r w:rsidR="00CC3034">
        <w:rPr>
          <w:rFonts w:hint="eastAsia"/>
          <w:sz w:val="22"/>
          <w:szCs w:val="22"/>
        </w:rPr>
        <w:t xml:space="preserve"> as well</w:t>
      </w:r>
      <w:r w:rsidRPr="008927A9">
        <w:rPr>
          <w:sz w:val="22"/>
          <w:szCs w:val="22"/>
        </w:rPr>
        <w:t>. This makes stablecoins as central to the crypto ecosystem as bank deposits are to traditional finance.</w:t>
      </w:r>
    </w:p>
    <w:p w14:paraId="77CE96D7" w14:textId="4C7544B9" w:rsidR="008927A9" w:rsidRPr="008927A9" w:rsidRDefault="00CC3034" w:rsidP="008927A9">
      <w:pPr>
        <w:rPr>
          <w:sz w:val="22"/>
          <w:szCs w:val="22"/>
        </w:rPr>
      </w:pPr>
      <w:r>
        <w:rPr>
          <w:rFonts w:hint="eastAsia"/>
          <w:sz w:val="22"/>
          <w:szCs w:val="22"/>
        </w:rPr>
        <w:t>However, a</w:t>
      </w:r>
      <w:r w:rsidR="008927A9" w:rsidRPr="008927A9">
        <w:rPr>
          <w:sz w:val="22"/>
          <w:szCs w:val="22"/>
        </w:rPr>
        <w:t>t system level, a stablecoin is not merely a token with a peg</w:t>
      </w:r>
      <w:r>
        <w:rPr>
          <w:rFonts w:hint="eastAsia"/>
          <w:sz w:val="22"/>
          <w:szCs w:val="22"/>
        </w:rPr>
        <w:t>.</w:t>
      </w:r>
      <w:r w:rsidR="008927A9" w:rsidRPr="008927A9">
        <w:rPr>
          <w:sz w:val="22"/>
          <w:szCs w:val="22"/>
        </w:rPr>
        <w:t xml:space="preserve"> </w:t>
      </w:r>
      <w:r>
        <w:rPr>
          <w:rFonts w:hint="eastAsia"/>
          <w:sz w:val="22"/>
          <w:szCs w:val="22"/>
        </w:rPr>
        <w:t>I</w:t>
      </w:r>
      <w:r w:rsidR="008927A9" w:rsidRPr="008927A9">
        <w:rPr>
          <w:sz w:val="22"/>
          <w:szCs w:val="22"/>
        </w:rPr>
        <w:t>t is an economic mechanism involving speculators, stablecoin users, governance token holders, oracle providers, and miners or validators. Its stability is an equilibrium outcome of their incentives and the protocol’s rules</w:t>
      </w:r>
      <w:r w:rsidR="00854299" w:rsidRPr="00854299">
        <w:rPr>
          <w:sz w:val="22"/>
          <w:szCs w:val="22"/>
          <w:vertAlign w:val="superscript"/>
        </w:rPr>
        <w:fldChar w:fldCharType="begin"/>
      </w:r>
      <w:r w:rsidR="00854299" w:rsidRPr="00854299">
        <w:rPr>
          <w:sz w:val="22"/>
          <w:szCs w:val="22"/>
          <w:vertAlign w:val="superscript"/>
        </w:rPr>
        <w:instrText xml:space="preserve"> REF _Ref215766038 \r \h </w:instrText>
      </w:r>
      <w:r w:rsidR="00854299">
        <w:rPr>
          <w:sz w:val="22"/>
          <w:szCs w:val="22"/>
          <w:vertAlign w:val="superscript"/>
        </w:rPr>
        <w:instrText xml:space="preserve"> \* MERGEFORMAT </w:instrText>
      </w:r>
      <w:r w:rsidR="00854299" w:rsidRPr="00854299">
        <w:rPr>
          <w:sz w:val="22"/>
          <w:szCs w:val="22"/>
          <w:vertAlign w:val="superscript"/>
        </w:rPr>
      </w:r>
      <w:r w:rsidR="00854299" w:rsidRPr="00854299">
        <w:rPr>
          <w:sz w:val="22"/>
          <w:szCs w:val="22"/>
          <w:vertAlign w:val="superscript"/>
        </w:rPr>
        <w:fldChar w:fldCharType="separate"/>
      </w:r>
      <w:r w:rsidR="00EE2D41">
        <w:rPr>
          <w:sz w:val="22"/>
          <w:szCs w:val="22"/>
          <w:vertAlign w:val="superscript"/>
        </w:rPr>
        <w:t>[1]</w:t>
      </w:r>
      <w:r w:rsidR="00854299" w:rsidRPr="00854299">
        <w:rPr>
          <w:sz w:val="22"/>
          <w:szCs w:val="22"/>
          <w:vertAlign w:val="superscript"/>
        </w:rPr>
        <w:fldChar w:fldCharType="end"/>
      </w:r>
      <w:r w:rsidR="008927A9" w:rsidRPr="008927A9">
        <w:rPr>
          <w:sz w:val="22"/>
          <w:szCs w:val="22"/>
        </w:rPr>
        <w:t>. The reading</w:t>
      </w:r>
      <w:r>
        <w:rPr>
          <w:rFonts w:hint="eastAsia"/>
          <w:sz w:val="22"/>
          <w:szCs w:val="22"/>
        </w:rPr>
        <w:t xml:space="preserve"> materials</w:t>
      </w:r>
      <w:r w:rsidR="008927A9" w:rsidRPr="008927A9">
        <w:rPr>
          <w:sz w:val="22"/>
          <w:szCs w:val="22"/>
        </w:rPr>
        <w:t xml:space="preserve"> used in CS 194 develop a unified framework for analyzing these systems using tools from capital structure theory, currency peg models, and stochastic processes</w:t>
      </w:r>
      <w:r w:rsidR="00854299" w:rsidRPr="00854299">
        <w:rPr>
          <w:sz w:val="22"/>
          <w:szCs w:val="22"/>
          <w:vertAlign w:val="superscript"/>
        </w:rPr>
        <w:fldChar w:fldCharType="begin"/>
      </w:r>
      <w:r w:rsidR="00854299" w:rsidRPr="00854299">
        <w:rPr>
          <w:sz w:val="22"/>
          <w:szCs w:val="22"/>
          <w:vertAlign w:val="superscript"/>
        </w:rPr>
        <w:instrText xml:space="preserve"> REF _Ref215766038 \r \h </w:instrText>
      </w:r>
      <w:r w:rsidR="00854299">
        <w:rPr>
          <w:sz w:val="22"/>
          <w:szCs w:val="22"/>
          <w:vertAlign w:val="superscript"/>
        </w:rPr>
        <w:instrText xml:space="preserve"> \* MERGEFORMAT </w:instrText>
      </w:r>
      <w:r w:rsidR="00854299" w:rsidRPr="00854299">
        <w:rPr>
          <w:sz w:val="22"/>
          <w:szCs w:val="22"/>
          <w:vertAlign w:val="superscript"/>
        </w:rPr>
      </w:r>
      <w:r w:rsidR="00854299" w:rsidRPr="00854299">
        <w:rPr>
          <w:sz w:val="22"/>
          <w:szCs w:val="22"/>
          <w:vertAlign w:val="superscript"/>
        </w:rPr>
        <w:fldChar w:fldCharType="separate"/>
      </w:r>
      <w:r w:rsidR="00EE2D41">
        <w:rPr>
          <w:sz w:val="22"/>
          <w:szCs w:val="22"/>
          <w:vertAlign w:val="superscript"/>
        </w:rPr>
        <w:t>[1]</w:t>
      </w:r>
      <w:r w:rsidR="00854299" w:rsidRPr="00854299">
        <w:rPr>
          <w:sz w:val="22"/>
          <w:szCs w:val="22"/>
          <w:vertAlign w:val="superscript"/>
        </w:rPr>
        <w:fldChar w:fldCharType="end"/>
      </w:r>
      <w:r w:rsidR="00854299" w:rsidRPr="00854299">
        <w:rPr>
          <w:sz w:val="22"/>
          <w:szCs w:val="22"/>
          <w:vertAlign w:val="superscript"/>
        </w:rPr>
        <w:fldChar w:fldCharType="begin"/>
      </w:r>
      <w:r w:rsidR="00854299" w:rsidRPr="00854299">
        <w:rPr>
          <w:sz w:val="22"/>
          <w:szCs w:val="22"/>
          <w:vertAlign w:val="superscript"/>
        </w:rPr>
        <w:instrText xml:space="preserve"> REF _Ref215766094 \r \h </w:instrText>
      </w:r>
      <w:r w:rsidR="00854299">
        <w:rPr>
          <w:sz w:val="22"/>
          <w:szCs w:val="22"/>
          <w:vertAlign w:val="superscript"/>
        </w:rPr>
        <w:instrText xml:space="preserve"> \* MERGEFORMAT </w:instrText>
      </w:r>
      <w:r w:rsidR="00854299" w:rsidRPr="00854299">
        <w:rPr>
          <w:sz w:val="22"/>
          <w:szCs w:val="22"/>
          <w:vertAlign w:val="superscript"/>
        </w:rPr>
      </w:r>
      <w:r w:rsidR="00854299" w:rsidRPr="00854299">
        <w:rPr>
          <w:sz w:val="22"/>
          <w:szCs w:val="22"/>
          <w:vertAlign w:val="superscript"/>
        </w:rPr>
        <w:fldChar w:fldCharType="separate"/>
      </w:r>
      <w:r w:rsidR="00EE2D41">
        <w:rPr>
          <w:sz w:val="22"/>
          <w:szCs w:val="22"/>
          <w:vertAlign w:val="superscript"/>
        </w:rPr>
        <w:t>[2]</w:t>
      </w:r>
      <w:r w:rsidR="00854299" w:rsidRPr="00854299">
        <w:rPr>
          <w:sz w:val="22"/>
          <w:szCs w:val="22"/>
          <w:vertAlign w:val="superscript"/>
        </w:rPr>
        <w:fldChar w:fldCharType="end"/>
      </w:r>
      <w:r w:rsidR="00854299" w:rsidRPr="00854299">
        <w:rPr>
          <w:sz w:val="22"/>
          <w:szCs w:val="22"/>
          <w:vertAlign w:val="superscript"/>
        </w:rPr>
        <w:fldChar w:fldCharType="begin"/>
      </w:r>
      <w:r w:rsidR="00854299" w:rsidRPr="00854299">
        <w:rPr>
          <w:sz w:val="22"/>
          <w:szCs w:val="22"/>
          <w:vertAlign w:val="superscript"/>
        </w:rPr>
        <w:instrText xml:space="preserve"> REF _Ref215766096 \r \h </w:instrText>
      </w:r>
      <w:r w:rsidR="00854299">
        <w:rPr>
          <w:sz w:val="22"/>
          <w:szCs w:val="22"/>
          <w:vertAlign w:val="superscript"/>
        </w:rPr>
        <w:instrText xml:space="preserve"> \* MERGEFORMAT </w:instrText>
      </w:r>
      <w:r w:rsidR="00854299" w:rsidRPr="00854299">
        <w:rPr>
          <w:sz w:val="22"/>
          <w:szCs w:val="22"/>
          <w:vertAlign w:val="superscript"/>
        </w:rPr>
      </w:r>
      <w:r w:rsidR="00854299" w:rsidRPr="00854299">
        <w:rPr>
          <w:sz w:val="22"/>
          <w:szCs w:val="22"/>
          <w:vertAlign w:val="superscript"/>
        </w:rPr>
        <w:fldChar w:fldCharType="separate"/>
      </w:r>
      <w:r w:rsidR="00EE2D41">
        <w:rPr>
          <w:sz w:val="22"/>
          <w:szCs w:val="22"/>
          <w:vertAlign w:val="superscript"/>
        </w:rPr>
        <w:t>[3]</w:t>
      </w:r>
      <w:r w:rsidR="00854299" w:rsidRPr="00854299">
        <w:rPr>
          <w:sz w:val="22"/>
          <w:szCs w:val="22"/>
          <w:vertAlign w:val="superscript"/>
        </w:rPr>
        <w:fldChar w:fldCharType="end"/>
      </w:r>
      <w:r w:rsidR="008927A9" w:rsidRPr="008927A9">
        <w:rPr>
          <w:sz w:val="22"/>
          <w:szCs w:val="22"/>
        </w:rPr>
        <w:t>.</w:t>
      </w:r>
    </w:p>
    <w:p w14:paraId="3088894B" w14:textId="625A2D15" w:rsidR="008927A9" w:rsidRPr="008927A9" w:rsidRDefault="008927A9" w:rsidP="008927A9">
      <w:pPr>
        <w:rPr>
          <w:sz w:val="22"/>
          <w:szCs w:val="22"/>
        </w:rPr>
      </w:pPr>
      <w:r w:rsidRPr="008927A9">
        <w:rPr>
          <w:sz w:val="22"/>
          <w:szCs w:val="22"/>
        </w:rPr>
        <w:t>A useful high-level distinction is between custodial and non-custodial stablecoins</w:t>
      </w:r>
      <w:r w:rsidR="00854299" w:rsidRPr="00854299">
        <w:rPr>
          <w:sz w:val="22"/>
          <w:szCs w:val="22"/>
          <w:vertAlign w:val="superscript"/>
        </w:rPr>
        <w:fldChar w:fldCharType="begin"/>
      </w:r>
      <w:r w:rsidR="00854299" w:rsidRPr="00854299">
        <w:rPr>
          <w:sz w:val="22"/>
          <w:szCs w:val="22"/>
          <w:vertAlign w:val="superscript"/>
        </w:rPr>
        <w:instrText xml:space="preserve"> REF _Ref215766038 \r \h </w:instrText>
      </w:r>
      <w:r w:rsidR="00854299">
        <w:rPr>
          <w:sz w:val="22"/>
          <w:szCs w:val="22"/>
          <w:vertAlign w:val="superscript"/>
        </w:rPr>
        <w:instrText xml:space="preserve"> \* MERGEFORMAT </w:instrText>
      </w:r>
      <w:r w:rsidR="00854299" w:rsidRPr="00854299">
        <w:rPr>
          <w:sz w:val="22"/>
          <w:szCs w:val="22"/>
          <w:vertAlign w:val="superscript"/>
        </w:rPr>
      </w:r>
      <w:r w:rsidR="00854299" w:rsidRPr="00854299">
        <w:rPr>
          <w:sz w:val="22"/>
          <w:szCs w:val="22"/>
          <w:vertAlign w:val="superscript"/>
        </w:rPr>
        <w:fldChar w:fldCharType="separate"/>
      </w:r>
      <w:r w:rsidR="00EE2D41">
        <w:rPr>
          <w:sz w:val="22"/>
          <w:szCs w:val="22"/>
          <w:vertAlign w:val="superscript"/>
        </w:rPr>
        <w:t>[1]</w:t>
      </w:r>
      <w:r w:rsidR="00854299" w:rsidRPr="00854299">
        <w:rPr>
          <w:sz w:val="22"/>
          <w:szCs w:val="22"/>
          <w:vertAlign w:val="superscript"/>
        </w:rPr>
        <w:fldChar w:fldCharType="end"/>
      </w:r>
      <w:r w:rsidRPr="008927A9">
        <w:rPr>
          <w:sz w:val="22"/>
          <w:szCs w:val="22"/>
        </w:rPr>
        <w:t xml:space="preserve">. </w:t>
      </w:r>
      <w:r w:rsidRPr="008927A9">
        <w:rPr>
          <w:b/>
          <w:bCs/>
          <w:sz w:val="22"/>
          <w:szCs w:val="22"/>
        </w:rPr>
        <w:t>Custodial</w:t>
      </w:r>
      <w:r w:rsidRPr="008927A9">
        <w:rPr>
          <w:sz w:val="22"/>
          <w:szCs w:val="22"/>
        </w:rPr>
        <w:t xml:space="preserve"> designs hold off-chain reserves</w:t>
      </w:r>
      <w:r w:rsidR="00CC3034">
        <w:rPr>
          <w:rFonts w:hint="eastAsia"/>
          <w:sz w:val="22"/>
          <w:szCs w:val="22"/>
        </w:rPr>
        <w:t xml:space="preserve"> such as </w:t>
      </w:r>
      <w:r w:rsidRPr="008927A9">
        <w:rPr>
          <w:sz w:val="22"/>
          <w:szCs w:val="22"/>
        </w:rPr>
        <w:t>fiat deposits or short-term government debt</w:t>
      </w:r>
      <w:r w:rsidR="00CC3034">
        <w:rPr>
          <w:rFonts w:hint="eastAsia"/>
          <w:sz w:val="22"/>
          <w:szCs w:val="22"/>
        </w:rPr>
        <w:t xml:space="preserve">, which are </w:t>
      </w:r>
      <w:r w:rsidRPr="008927A9">
        <w:rPr>
          <w:sz w:val="22"/>
          <w:szCs w:val="22"/>
        </w:rPr>
        <w:t>managed by a centralized issuer. Each token represents a claim on one unit of the reference asset. In the simplest case, reserves fully back liabilities, resembling a currency board or narrow bank; more complex designs allow fractional reserves, introducing maturity and credit transformation similar to commercial banks</w:t>
      </w:r>
      <w:r w:rsidR="00854299" w:rsidRPr="00854299">
        <w:rPr>
          <w:sz w:val="22"/>
          <w:szCs w:val="22"/>
          <w:vertAlign w:val="superscript"/>
        </w:rPr>
        <w:fldChar w:fldCharType="begin"/>
      </w:r>
      <w:r w:rsidR="00854299" w:rsidRPr="00854299">
        <w:rPr>
          <w:sz w:val="22"/>
          <w:szCs w:val="22"/>
          <w:vertAlign w:val="superscript"/>
        </w:rPr>
        <w:instrText xml:space="preserve"> REF _Ref215766038 \r \h </w:instrText>
      </w:r>
      <w:r w:rsidR="00854299">
        <w:rPr>
          <w:sz w:val="22"/>
          <w:szCs w:val="22"/>
          <w:vertAlign w:val="superscript"/>
        </w:rPr>
        <w:instrText xml:space="preserve"> \* MERGEFORMAT </w:instrText>
      </w:r>
      <w:r w:rsidR="00854299" w:rsidRPr="00854299">
        <w:rPr>
          <w:sz w:val="22"/>
          <w:szCs w:val="22"/>
          <w:vertAlign w:val="superscript"/>
        </w:rPr>
      </w:r>
      <w:r w:rsidR="00854299" w:rsidRPr="00854299">
        <w:rPr>
          <w:sz w:val="22"/>
          <w:szCs w:val="22"/>
          <w:vertAlign w:val="superscript"/>
        </w:rPr>
        <w:fldChar w:fldCharType="separate"/>
      </w:r>
      <w:r w:rsidR="00EE2D41">
        <w:rPr>
          <w:sz w:val="22"/>
          <w:szCs w:val="22"/>
          <w:vertAlign w:val="superscript"/>
        </w:rPr>
        <w:t>[1]</w:t>
      </w:r>
      <w:r w:rsidR="00854299" w:rsidRPr="00854299">
        <w:rPr>
          <w:sz w:val="22"/>
          <w:szCs w:val="22"/>
          <w:vertAlign w:val="superscript"/>
        </w:rPr>
        <w:fldChar w:fldCharType="end"/>
      </w:r>
      <w:r w:rsidRPr="008927A9">
        <w:rPr>
          <w:sz w:val="22"/>
          <w:szCs w:val="22"/>
        </w:rPr>
        <w:t>. Price stability is enforced through redemption arbitrage: when the token trades below $1, arbitrageurs buy and redeem; when it trades above, they mint and sell. Risk arises primarily from counterparty, asset-quality, and regulatory exposure.</w:t>
      </w:r>
    </w:p>
    <w:p w14:paraId="0107CA2E" w14:textId="3DDD64FC" w:rsidR="008927A9" w:rsidRPr="008927A9" w:rsidRDefault="008927A9" w:rsidP="008927A9">
      <w:pPr>
        <w:rPr>
          <w:sz w:val="22"/>
          <w:szCs w:val="22"/>
        </w:rPr>
      </w:pPr>
      <w:r w:rsidRPr="008927A9">
        <w:rPr>
          <w:b/>
          <w:bCs/>
          <w:sz w:val="22"/>
          <w:szCs w:val="22"/>
        </w:rPr>
        <w:t>Non-custodial</w:t>
      </w:r>
      <w:r w:rsidRPr="008927A9">
        <w:rPr>
          <w:sz w:val="22"/>
          <w:szCs w:val="22"/>
        </w:rPr>
        <w:t xml:space="preserve"> stablecoins instead implement the capital structure on-chain. Klages-Mundt et al. decompose these systems into functional components: primary value (collateral), risk-absorbing positions, stablecoin holders, issuance and deleveraging rules, governance, oracles, and miners/validators</w:t>
      </w:r>
      <w:r w:rsidR="00854299" w:rsidRPr="00854299">
        <w:rPr>
          <w:sz w:val="22"/>
          <w:szCs w:val="22"/>
          <w:vertAlign w:val="superscript"/>
        </w:rPr>
        <w:fldChar w:fldCharType="begin"/>
      </w:r>
      <w:r w:rsidR="00854299" w:rsidRPr="00854299">
        <w:rPr>
          <w:sz w:val="22"/>
          <w:szCs w:val="22"/>
          <w:vertAlign w:val="superscript"/>
        </w:rPr>
        <w:instrText xml:space="preserve"> REF _Ref215766038 \r \h </w:instrText>
      </w:r>
      <w:r w:rsidR="00854299">
        <w:rPr>
          <w:sz w:val="22"/>
          <w:szCs w:val="22"/>
          <w:vertAlign w:val="superscript"/>
        </w:rPr>
        <w:instrText xml:space="preserve"> \* MERGEFORMAT </w:instrText>
      </w:r>
      <w:r w:rsidR="00854299" w:rsidRPr="00854299">
        <w:rPr>
          <w:sz w:val="22"/>
          <w:szCs w:val="22"/>
          <w:vertAlign w:val="superscript"/>
        </w:rPr>
      </w:r>
      <w:r w:rsidR="00854299" w:rsidRPr="00854299">
        <w:rPr>
          <w:sz w:val="22"/>
          <w:szCs w:val="22"/>
          <w:vertAlign w:val="superscript"/>
        </w:rPr>
        <w:fldChar w:fldCharType="separate"/>
      </w:r>
      <w:r w:rsidR="00EE2D41">
        <w:rPr>
          <w:sz w:val="22"/>
          <w:szCs w:val="22"/>
          <w:vertAlign w:val="superscript"/>
        </w:rPr>
        <w:t>[1]</w:t>
      </w:r>
      <w:r w:rsidR="00854299" w:rsidRPr="00854299">
        <w:rPr>
          <w:sz w:val="22"/>
          <w:szCs w:val="22"/>
          <w:vertAlign w:val="superscript"/>
        </w:rPr>
        <w:fldChar w:fldCharType="end"/>
      </w:r>
      <w:r w:rsidRPr="008927A9">
        <w:rPr>
          <w:sz w:val="22"/>
          <w:szCs w:val="22"/>
        </w:rPr>
        <w:t>. Primary value may be</w:t>
      </w:r>
      <w:r w:rsidR="005129E7">
        <w:rPr>
          <w:rFonts w:hint="eastAsia"/>
          <w:sz w:val="22"/>
          <w:szCs w:val="22"/>
        </w:rPr>
        <w:t xml:space="preserve"> either</w:t>
      </w:r>
      <w:r w:rsidRPr="008927A9">
        <w:rPr>
          <w:sz w:val="22"/>
          <w:szCs w:val="22"/>
        </w:rPr>
        <w:t xml:space="preserve"> </w:t>
      </w:r>
      <w:r w:rsidRPr="008927A9">
        <w:rPr>
          <w:i/>
          <w:iCs/>
          <w:sz w:val="22"/>
          <w:szCs w:val="22"/>
        </w:rPr>
        <w:t>exogenous collateral</w:t>
      </w:r>
      <w:r w:rsidRPr="008927A9">
        <w:rPr>
          <w:sz w:val="22"/>
          <w:szCs w:val="22"/>
        </w:rPr>
        <w:t xml:space="preserve"> such as ETH</w:t>
      </w:r>
      <w:r w:rsidR="005129E7">
        <w:rPr>
          <w:rFonts w:hint="eastAsia"/>
          <w:sz w:val="22"/>
          <w:szCs w:val="22"/>
        </w:rPr>
        <w:t>,</w:t>
      </w:r>
      <w:r w:rsidRPr="008927A9">
        <w:rPr>
          <w:sz w:val="22"/>
          <w:szCs w:val="22"/>
        </w:rPr>
        <w:t xml:space="preserve"> whose price is determined by external markets</w:t>
      </w:r>
      <w:r w:rsidR="005129E7">
        <w:rPr>
          <w:rFonts w:hint="eastAsia"/>
          <w:sz w:val="22"/>
          <w:szCs w:val="22"/>
        </w:rPr>
        <w:t>, or</w:t>
      </w:r>
      <w:r w:rsidRPr="008927A9">
        <w:rPr>
          <w:sz w:val="22"/>
          <w:szCs w:val="22"/>
        </w:rPr>
        <w:t xml:space="preserve"> </w:t>
      </w:r>
      <w:r w:rsidRPr="008927A9">
        <w:rPr>
          <w:i/>
          <w:iCs/>
          <w:sz w:val="22"/>
          <w:szCs w:val="22"/>
        </w:rPr>
        <w:t>endogenous collateral</w:t>
      </w:r>
      <w:r w:rsidRPr="008927A9">
        <w:rPr>
          <w:sz w:val="22"/>
          <w:szCs w:val="22"/>
        </w:rPr>
        <w:t xml:space="preserve"> such as governance tokens</w:t>
      </w:r>
      <w:r w:rsidR="005129E7">
        <w:rPr>
          <w:rFonts w:hint="eastAsia"/>
          <w:sz w:val="22"/>
          <w:szCs w:val="22"/>
        </w:rPr>
        <w:t>,</w:t>
      </w:r>
      <w:r w:rsidRPr="008927A9">
        <w:rPr>
          <w:sz w:val="22"/>
          <w:szCs w:val="22"/>
        </w:rPr>
        <w:t xml:space="preserve"> whose value is reflexive to the system’s success</w:t>
      </w:r>
      <w:r w:rsidR="005129E7">
        <w:rPr>
          <w:rFonts w:hint="eastAsia"/>
          <w:sz w:val="22"/>
          <w:szCs w:val="22"/>
        </w:rPr>
        <w:t>,</w:t>
      </w:r>
      <w:r w:rsidRPr="008927A9">
        <w:rPr>
          <w:sz w:val="22"/>
          <w:szCs w:val="22"/>
        </w:rPr>
        <w:t xml:space="preserve"> or </w:t>
      </w:r>
      <w:r w:rsidRPr="008927A9">
        <w:rPr>
          <w:i/>
          <w:iCs/>
          <w:sz w:val="22"/>
          <w:szCs w:val="22"/>
        </w:rPr>
        <w:t>implicit collateral</w:t>
      </w:r>
      <w:r w:rsidRPr="008927A9">
        <w:rPr>
          <w:sz w:val="22"/>
          <w:szCs w:val="22"/>
        </w:rPr>
        <w:t xml:space="preserve"> in seigniorage-style designs</w:t>
      </w:r>
      <w:r w:rsidR="00854299" w:rsidRPr="00854299">
        <w:rPr>
          <w:sz w:val="22"/>
          <w:szCs w:val="22"/>
          <w:vertAlign w:val="superscript"/>
        </w:rPr>
        <w:fldChar w:fldCharType="begin"/>
      </w:r>
      <w:r w:rsidR="00854299" w:rsidRPr="00854299">
        <w:rPr>
          <w:sz w:val="22"/>
          <w:szCs w:val="22"/>
          <w:vertAlign w:val="superscript"/>
        </w:rPr>
        <w:instrText xml:space="preserve"> REF _Ref215766038 \r \h </w:instrText>
      </w:r>
      <w:r w:rsidR="00854299">
        <w:rPr>
          <w:sz w:val="22"/>
          <w:szCs w:val="22"/>
          <w:vertAlign w:val="superscript"/>
        </w:rPr>
        <w:instrText xml:space="preserve"> \* MERGEFORMAT </w:instrText>
      </w:r>
      <w:r w:rsidR="00854299" w:rsidRPr="00854299">
        <w:rPr>
          <w:sz w:val="22"/>
          <w:szCs w:val="22"/>
          <w:vertAlign w:val="superscript"/>
        </w:rPr>
      </w:r>
      <w:r w:rsidR="00854299" w:rsidRPr="00854299">
        <w:rPr>
          <w:sz w:val="22"/>
          <w:szCs w:val="22"/>
          <w:vertAlign w:val="superscript"/>
        </w:rPr>
        <w:fldChar w:fldCharType="separate"/>
      </w:r>
      <w:r w:rsidR="00EE2D41">
        <w:rPr>
          <w:sz w:val="22"/>
          <w:szCs w:val="22"/>
          <w:vertAlign w:val="superscript"/>
        </w:rPr>
        <w:t>[1]</w:t>
      </w:r>
      <w:r w:rsidR="00854299" w:rsidRPr="00854299">
        <w:rPr>
          <w:sz w:val="22"/>
          <w:szCs w:val="22"/>
          <w:vertAlign w:val="superscript"/>
        </w:rPr>
        <w:fldChar w:fldCharType="end"/>
      </w:r>
      <w:r w:rsidRPr="008927A9">
        <w:rPr>
          <w:sz w:val="22"/>
          <w:szCs w:val="22"/>
        </w:rPr>
        <w:t>. Risk is borne either directly by collateralized borrowers (vault owners) or indirectly by equity-like governance token holders</w:t>
      </w:r>
      <w:r w:rsidR="005129E7">
        <w:rPr>
          <w:rFonts w:hint="eastAsia"/>
          <w:sz w:val="22"/>
          <w:szCs w:val="22"/>
        </w:rPr>
        <w:t>,</w:t>
      </w:r>
      <w:r w:rsidRPr="008927A9">
        <w:rPr>
          <w:sz w:val="22"/>
          <w:szCs w:val="22"/>
        </w:rPr>
        <w:t xml:space="preserve"> who can be diluted to recapitalize shortfalls.</w:t>
      </w:r>
    </w:p>
    <w:p w14:paraId="22E40893" w14:textId="23629E65" w:rsidR="008927A9" w:rsidRPr="008927A9" w:rsidRDefault="008927A9" w:rsidP="008927A9">
      <w:pPr>
        <w:rPr>
          <w:sz w:val="22"/>
          <w:szCs w:val="22"/>
        </w:rPr>
      </w:pPr>
      <w:r w:rsidRPr="008927A9">
        <w:rPr>
          <w:b/>
          <w:bCs/>
          <w:sz w:val="22"/>
          <w:szCs w:val="22"/>
        </w:rPr>
        <w:t>Issuance and deleveraging rules</w:t>
      </w:r>
      <w:r w:rsidRPr="008927A9">
        <w:rPr>
          <w:sz w:val="22"/>
          <w:szCs w:val="22"/>
        </w:rPr>
        <w:t xml:space="preserve"> are central. In an over-collateralized lending model inspired by Maker’s Dai</w:t>
      </w:r>
      <w:r w:rsidR="00854299" w:rsidRPr="00854299">
        <w:rPr>
          <w:sz w:val="22"/>
          <w:szCs w:val="22"/>
          <w:vertAlign w:val="superscript"/>
        </w:rPr>
        <w:fldChar w:fldCharType="begin"/>
      </w:r>
      <w:r w:rsidR="00854299" w:rsidRPr="00854299">
        <w:rPr>
          <w:sz w:val="22"/>
          <w:szCs w:val="22"/>
          <w:vertAlign w:val="superscript"/>
        </w:rPr>
        <w:instrText xml:space="preserve"> REF _Ref215766094 \r \h </w:instrText>
      </w:r>
      <w:r w:rsidR="00854299">
        <w:rPr>
          <w:sz w:val="22"/>
          <w:szCs w:val="22"/>
          <w:vertAlign w:val="superscript"/>
        </w:rPr>
        <w:instrText xml:space="preserve"> \* MERGEFORMAT </w:instrText>
      </w:r>
      <w:r w:rsidR="00854299" w:rsidRPr="00854299">
        <w:rPr>
          <w:sz w:val="22"/>
          <w:szCs w:val="22"/>
          <w:vertAlign w:val="superscript"/>
        </w:rPr>
      </w:r>
      <w:r w:rsidR="00854299" w:rsidRPr="00854299">
        <w:rPr>
          <w:sz w:val="22"/>
          <w:szCs w:val="22"/>
          <w:vertAlign w:val="superscript"/>
        </w:rPr>
        <w:fldChar w:fldCharType="separate"/>
      </w:r>
      <w:r w:rsidR="00EE2D41">
        <w:rPr>
          <w:sz w:val="22"/>
          <w:szCs w:val="22"/>
          <w:vertAlign w:val="superscript"/>
        </w:rPr>
        <w:t>[2]</w:t>
      </w:r>
      <w:r w:rsidR="00854299" w:rsidRPr="00854299">
        <w:rPr>
          <w:sz w:val="22"/>
          <w:szCs w:val="22"/>
          <w:vertAlign w:val="superscript"/>
        </w:rPr>
        <w:fldChar w:fldCharType="end"/>
      </w:r>
      <w:r w:rsidRPr="008927A9">
        <w:rPr>
          <w:sz w:val="22"/>
          <w:szCs w:val="22"/>
        </w:rPr>
        <w:t xml:space="preserve">, agents lock collateral and borrow stablecoins subject to a collateralization ratio </w:t>
      </w:r>
      <m:oMath>
        <m:r>
          <m:rPr>
            <m:sty m:val="p"/>
          </m:rPr>
          <w:rPr>
            <w:rFonts w:ascii="Cambria Math" w:hAnsi="Cambria Math"/>
            <w:sz w:val="22"/>
            <w:szCs w:val="22"/>
          </w:rPr>
          <m:t>β</m:t>
        </m:r>
      </m:oMath>
      <w:r w:rsidRPr="008927A9">
        <w:rPr>
          <w:sz w:val="22"/>
          <w:szCs w:val="22"/>
        </w:rPr>
        <w:t>. If the collateral’s value falls so that the ratio is violated, a liquidation is triggered. Liquidations sell collateral for stablecoins, which are then burned to reduce supply. This gives speculators a leveraged long position in the collateral asset and a short position in the stablecoin.</w:t>
      </w:r>
    </w:p>
    <w:p w14:paraId="2129BC48" w14:textId="5E42B5F8" w:rsidR="008927A9" w:rsidRPr="008927A9" w:rsidRDefault="008927A9" w:rsidP="008927A9">
      <w:pPr>
        <w:rPr>
          <w:sz w:val="22"/>
          <w:szCs w:val="22"/>
        </w:rPr>
      </w:pPr>
      <w:r w:rsidRPr="008927A9">
        <w:rPr>
          <w:b/>
          <w:bCs/>
          <w:sz w:val="22"/>
          <w:szCs w:val="22"/>
        </w:rPr>
        <w:t>Governance, oracles, and MEV</w:t>
      </w:r>
      <w:r w:rsidRPr="008927A9">
        <w:rPr>
          <w:sz w:val="22"/>
          <w:szCs w:val="22"/>
        </w:rPr>
        <w:t xml:space="preserve"> form additional layers of risk</w:t>
      </w:r>
      <w:r w:rsidR="00854299" w:rsidRPr="00854299">
        <w:rPr>
          <w:sz w:val="22"/>
          <w:szCs w:val="22"/>
          <w:vertAlign w:val="superscript"/>
        </w:rPr>
        <w:fldChar w:fldCharType="begin"/>
      </w:r>
      <w:r w:rsidR="00854299" w:rsidRPr="00854299">
        <w:rPr>
          <w:sz w:val="22"/>
          <w:szCs w:val="22"/>
          <w:vertAlign w:val="superscript"/>
        </w:rPr>
        <w:instrText xml:space="preserve"> REF _Ref215766038 \r \h </w:instrText>
      </w:r>
      <w:r w:rsidR="00854299">
        <w:rPr>
          <w:sz w:val="22"/>
          <w:szCs w:val="22"/>
          <w:vertAlign w:val="superscript"/>
        </w:rPr>
        <w:instrText xml:space="preserve"> \* MERGEFORMAT </w:instrText>
      </w:r>
      <w:r w:rsidR="00854299" w:rsidRPr="00854299">
        <w:rPr>
          <w:sz w:val="22"/>
          <w:szCs w:val="22"/>
          <w:vertAlign w:val="superscript"/>
        </w:rPr>
      </w:r>
      <w:r w:rsidR="00854299" w:rsidRPr="00854299">
        <w:rPr>
          <w:sz w:val="22"/>
          <w:szCs w:val="22"/>
          <w:vertAlign w:val="superscript"/>
        </w:rPr>
        <w:fldChar w:fldCharType="separate"/>
      </w:r>
      <w:r w:rsidR="00EE2D41">
        <w:rPr>
          <w:sz w:val="22"/>
          <w:szCs w:val="22"/>
          <w:vertAlign w:val="superscript"/>
        </w:rPr>
        <w:t>[1]</w:t>
      </w:r>
      <w:r w:rsidR="00854299" w:rsidRPr="00854299">
        <w:rPr>
          <w:sz w:val="22"/>
          <w:szCs w:val="22"/>
          <w:vertAlign w:val="superscript"/>
        </w:rPr>
        <w:fldChar w:fldCharType="end"/>
      </w:r>
      <w:r w:rsidR="00854299" w:rsidRPr="00854299">
        <w:rPr>
          <w:sz w:val="22"/>
          <w:szCs w:val="22"/>
          <w:vertAlign w:val="superscript"/>
        </w:rPr>
        <w:fldChar w:fldCharType="begin"/>
      </w:r>
      <w:r w:rsidR="00854299" w:rsidRPr="00854299">
        <w:rPr>
          <w:sz w:val="22"/>
          <w:szCs w:val="22"/>
          <w:vertAlign w:val="superscript"/>
        </w:rPr>
        <w:instrText xml:space="preserve"> REF _Ref215766096 \r \h </w:instrText>
      </w:r>
      <w:r w:rsidR="00854299">
        <w:rPr>
          <w:sz w:val="22"/>
          <w:szCs w:val="22"/>
          <w:vertAlign w:val="superscript"/>
        </w:rPr>
        <w:instrText xml:space="preserve"> \* MERGEFORMAT </w:instrText>
      </w:r>
      <w:r w:rsidR="00854299" w:rsidRPr="00854299">
        <w:rPr>
          <w:sz w:val="22"/>
          <w:szCs w:val="22"/>
          <w:vertAlign w:val="superscript"/>
        </w:rPr>
      </w:r>
      <w:r w:rsidR="00854299" w:rsidRPr="00854299">
        <w:rPr>
          <w:sz w:val="22"/>
          <w:szCs w:val="22"/>
          <w:vertAlign w:val="superscript"/>
        </w:rPr>
        <w:fldChar w:fldCharType="separate"/>
      </w:r>
      <w:r w:rsidR="00EE2D41">
        <w:rPr>
          <w:sz w:val="22"/>
          <w:szCs w:val="22"/>
          <w:vertAlign w:val="superscript"/>
        </w:rPr>
        <w:t>[3]</w:t>
      </w:r>
      <w:r w:rsidR="00854299" w:rsidRPr="00854299">
        <w:rPr>
          <w:sz w:val="22"/>
          <w:szCs w:val="22"/>
          <w:vertAlign w:val="superscript"/>
        </w:rPr>
        <w:fldChar w:fldCharType="end"/>
      </w:r>
      <w:r w:rsidRPr="008927A9">
        <w:rPr>
          <w:sz w:val="22"/>
          <w:szCs w:val="22"/>
        </w:rPr>
        <w:t>. Governance can set parameters (fees, collateral ratios, auction rules) and seize collateral</w:t>
      </w:r>
      <w:r w:rsidR="005129E7">
        <w:rPr>
          <w:rFonts w:hint="eastAsia"/>
          <w:sz w:val="22"/>
          <w:szCs w:val="22"/>
        </w:rPr>
        <w:t xml:space="preserve"> </w:t>
      </w:r>
      <w:r w:rsidR="005129E7" w:rsidRPr="008927A9">
        <w:rPr>
          <w:sz w:val="22"/>
          <w:szCs w:val="22"/>
        </w:rPr>
        <w:t>in extreme cases</w:t>
      </w:r>
      <w:r w:rsidRPr="008927A9">
        <w:rPr>
          <w:sz w:val="22"/>
          <w:szCs w:val="22"/>
        </w:rPr>
        <w:t>. Oracles supply price data that determine whether positions are under-collateralized. Miners or validators can reorder transactions to capture arbitrage or liquidation profits (MEV). These components are integral to the mechanism</w:t>
      </w:r>
      <w:r w:rsidR="005129E7">
        <w:rPr>
          <w:rFonts w:hint="eastAsia"/>
          <w:sz w:val="22"/>
          <w:szCs w:val="22"/>
        </w:rPr>
        <w:t>,</w:t>
      </w:r>
      <w:r w:rsidRPr="008927A9">
        <w:rPr>
          <w:sz w:val="22"/>
          <w:szCs w:val="22"/>
        </w:rPr>
        <w:t xml:space="preserve"> if mis-aligned, they can destabilize the system even if the core peg rule is sound.</w:t>
      </w:r>
    </w:p>
    <w:p w14:paraId="109C019F" w14:textId="6F4FB5A1" w:rsidR="008927A9" w:rsidRPr="008927A9" w:rsidRDefault="00F302B0" w:rsidP="008927A9">
      <w:pPr>
        <w:rPr>
          <w:sz w:val="22"/>
          <w:szCs w:val="22"/>
        </w:rPr>
      </w:pPr>
      <w:r w:rsidRPr="00F302B0">
        <w:rPr>
          <w:sz w:val="22"/>
          <w:szCs w:val="22"/>
        </w:rPr>
        <w:t>In order to more quantitatively examine the various performances of stablecoins</w:t>
      </w:r>
      <w:r>
        <w:rPr>
          <w:rFonts w:hint="eastAsia"/>
          <w:sz w:val="22"/>
          <w:szCs w:val="22"/>
        </w:rPr>
        <w:t xml:space="preserve">, </w:t>
      </w:r>
      <w:r w:rsidR="008927A9" w:rsidRPr="008927A9">
        <w:rPr>
          <w:sz w:val="22"/>
          <w:szCs w:val="22"/>
        </w:rPr>
        <w:t xml:space="preserve">“While Stability Lasts” formalizes the dynamics of an over-collateralized stablecoin using a </w:t>
      </w:r>
      <w:r w:rsidR="008927A9" w:rsidRPr="008927A9">
        <w:rPr>
          <w:i/>
          <w:iCs/>
          <w:sz w:val="22"/>
          <w:szCs w:val="22"/>
        </w:rPr>
        <w:t>stochastic model</w:t>
      </w:r>
      <w:r w:rsidR="00854299" w:rsidRPr="00854299">
        <w:rPr>
          <w:sz w:val="22"/>
          <w:szCs w:val="22"/>
          <w:vertAlign w:val="superscript"/>
        </w:rPr>
        <w:fldChar w:fldCharType="begin"/>
      </w:r>
      <w:r w:rsidR="00854299" w:rsidRPr="00854299">
        <w:rPr>
          <w:sz w:val="22"/>
          <w:szCs w:val="22"/>
          <w:vertAlign w:val="superscript"/>
        </w:rPr>
        <w:instrText xml:space="preserve"> REF _Ref215766094 \r \h </w:instrText>
      </w:r>
      <w:r w:rsidR="00854299">
        <w:rPr>
          <w:sz w:val="22"/>
          <w:szCs w:val="22"/>
          <w:vertAlign w:val="superscript"/>
        </w:rPr>
        <w:instrText xml:space="preserve"> \* MERGEFORMAT </w:instrText>
      </w:r>
      <w:r w:rsidR="00854299" w:rsidRPr="00854299">
        <w:rPr>
          <w:sz w:val="22"/>
          <w:szCs w:val="22"/>
          <w:vertAlign w:val="superscript"/>
        </w:rPr>
      </w:r>
      <w:r w:rsidR="00854299" w:rsidRPr="00854299">
        <w:rPr>
          <w:sz w:val="22"/>
          <w:szCs w:val="22"/>
          <w:vertAlign w:val="superscript"/>
        </w:rPr>
        <w:fldChar w:fldCharType="separate"/>
      </w:r>
      <w:r w:rsidR="00EE2D41">
        <w:rPr>
          <w:sz w:val="22"/>
          <w:szCs w:val="22"/>
          <w:vertAlign w:val="superscript"/>
        </w:rPr>
        <w:t>[2]</w:t>
      </w:r>
      <w:r w:rsidR="00854299" w:rsidRPr="00854299">
        <w:rPr>
          <w:sz w:val="22"/>
          <w:szCs w:val="22"/>
          <w:vertAlign w:val="superscript"/>
        </w:rPr>
        <w:fldChar w:fldCharType="end"/>
      </w:r>
      <w:r w:rsidR="008927A9" w:rsidRPr="008927A9">
        <w:rPr>
          <w:sz w:val="22"/>
          <w:szCs w:val="22"/>
        </w:rPr>
        <w:t xml:space="preserve">. The system has a risky collateral asset with exogenous price process </w:t>
      </w:r>
      <m:oMath>
        <m:sSub>
          <m:sSubPr>
            <m:ctrlPr>
              <w:rPr>
                <w:rFonts w:ascii="Cambria Math" w:hAnsi="Cambria Math"/>
                <w:sz w:val="22"/>
                <w:szCs w:val="22"/>
              </w:rPr>
            </m:ctrlPr>
          </m:sSubPr>
          <m:e>
            <m:r>
              <m:rPr>
                <m:sty m:val="p"/>
              </m:rPr>
              <w:rPr>
                <w:rFonts w:ascii="Cambria Math" w:hAnsi="Cambria Math"/>
                <w:sz w:val="22"/>
                <w:szCs w:val="22"/>
              </w:rPr>
              <m:t>X</m:t>
            </m:r>
          </m:e>
          <m:sub>
            <m:r>
              <m:rPr>
                <m:sty m:val="p"/>
              </m:rPr>
              <w:rPr>
                <w:rFonts w:ascii="Cambria Math" w:hAnsi="Cambria Math"/>
                <w:sz w:val="22"/>
                <w:szCs w:val="22"/>
              </w:rPr>
              <m:t>t</m:t>
            </m:r>
          </m:sub>
        </m:sSub>
      </m:oMath>
      <w:r w:rsidR="008927A9" w:rsidRPr="008927A9">
        <w:rPr>
          <w:sz w:val="22"/>
          <w:szCs w:val="22"/>
        </w:rPr>
        <w:t xml:space="preserve"> and an endogenous stablecoin price</w:t>
      </w:r>
      <w:r w:rsidR="005129E7" w:rsidRPr="008927A9">
        <w:rPr>
          <w:sz w:val="22"/>
          <w:szCs w:val="22"/>
        </w:rPr>
        <w:t xml:space="preserve"> </w:t>
      </w:r>
      <m:oMath>
        <m:sSub>
          <m:sSubPr>
            <m:ctrlPr>
              <w:rPr>
                <w:rFonts w:ascii="Cambria Math" w:hAnsi="Cambria Math"/>
                <w:sz w:val="22"/>
                <w:szCs w:val="22"/>
              </w:rPr>
            </m:ctrlPr>
          </m:sSubPr>
          <m:e>
            <m:r>
              <m:rPr>
                <m:sty m:val="p"/>
              </m:rPr>
              <w:rPr>
                <w:rFonts w:ascii="Cambria Math" w:hAnsi="Cambria Math"/>
                <w:sz w:val="22"/>
                <w:szCs w:val="22"/>
              </w:rPr>
              <m:t>Z</m:t>
            </m:r>
          </m:e>
          <m:sub>
            <m:r>
              <m:rPr>
                <m:sty m:val="p"/>
              </m:rPr>
              <w:rPr>
                <w:rFonts w:ascii="Cambria Math" w:hAnsi="Cambria Math"/>
                <w:sz w:val="22"/>
                <w:szCs w:val="22"/>
              </w:rPr>
              <m:t>t</m:t>
            </m:r>
          </m:sub>
        </m:sSub>
      </m:oMath>
      <w:r w:rsidR="008927A9" w:rsidRPr="008927A9">
        <w:rPr>
          <w:sz w:val="22"/>
          <w:szCs w:val="22"/>
        </w:rPr>
        <w:t>. Stablecoin supply</w:t>
      </w:r>
      <w:r w:rsidR="005129E7" w:rsidRPr="008927A9">
        <w:rPr>
          <w:sz w:val="22"/>
          <w:szCs w:val="22"/>
        </w:rPr>
        <w:t xml:space="preserve"> </w:t>
      </w:r>
      <m:oMath>
        <m:sSub>
          <m:sSubPr>
            <m:ctrlPr>
              <w:rPr>
                <w:rFonts w:ascii="Cambria Math" w:hAnsi="Cambria Math"/>
                <w:sz w:val="22"/>
                <w:szCs w:val="22"/>
              </w:rPr>
            </m:ctrlPr>
          </m:sSubPr>
          <m:e>
            <m:r>
              <w:rPr>
                <w:rFonts w:ascii="Cambria Math" w:hAnsi="Cambria Math"/>
                <w:sz w:val="22"/>
                <w:szCs w:val="22"/>
              </w:rPr>
              <m:t>L</m:t>
            </m:r>
          </m:e>
          <m:sub>
            <m:r>
              <m:rPr>
                <m:sty m:val="p"/>
              </m:rPr>
              <w:rPr>
                <w:rFonts w:ascii="Cambria Math" w:hAnsi="Cambria Math"/>
                <w:sz w:val="22"/>
                <w:szCs w:val="22"/>
              </w:rPr>
              <m:t>t</m:t>
            </m:r>
          </m:sub>
        </m:sSub>
      </m:oMath>
      <w:r w:rsidR="005129E7" w:rsidRPr="008927A9">
        <w:rPr>
          <w:sz w:val="22"/>
          <w:szCs w:val="22"/>
        </w:rPr>
        <w:t xml:space="preserve"> </w:t>
      </w:r>
      <w:r w:rsidR="008927A9" w:rsidRPr="008927A9">
        <w:rPr>
          <w:sz w:val="22"/>
          <w:szCs w:val="22"/>
        </w:rPr>
        <w:t>is chosen by risk-neutral speculators who compare the benefits of leverage against expected liquidation costs. Demand for the stablecoin is modelled as imperfectly elastic in dollars, so that market clearing implies</w:t>
      </w:r>
      <w:r w:rsidR="005129E7" w:rsidRPr="008927A9">
        <w:rPr>
          <w:sz w:val="22"/>
          <w:szCs w:val="22"/>
        </w:rPr>
        <w:t xml:space="preserve"> </w:t>
      </w:r>
      <m:oMath>
        <m:sSub>
          <m:sSubPr>
            <m:ctrlPr>
              <w:rPr>
                <w:rFonts w:ascii="Cambria Math" w:hAnsi="Cambria Math"/>
                <w:sz w:val="22"/>
                <w:szCs w:val="22"/>
              </w:rPr>
            </m:ctrlPr>
          </m:sSubPr>
          <m:e>
            <m:r>
              <m:rPr>
                <m:sty m:val="p"/>
              </m:rPr>
              <w:rPr>
                <w:rFonts w:ascii="Cambria Math" w:hAnsi="Cambria Math"/>
                <w:sz w:val="22"/>
                <w:szCs w:val="22"/>
              </w:rPr>
              <m:t>Z</m:t>
            </m:r>
          </m:e>
          <m:sub>
            <m:r>
              <m:rPr>
                <m:sty m:val="p"/>
              </m:rPr>
              <w:rPr>
                <w:rFonts w:ascii="Cambria Math" w:hAnsi="Cambria Math"/>
                <w:sz w:val="22"/>
                <w:szCs w:val="22"/>
              </w:rPr>
              <m:t>t</m:t>
            </m:r>
          </m:sub>
        </m:sSub>
        <m:r>
          <w:rPr>
            <w:rFonts w:ascii="Cambria Math" w:hAnsi="Cambria Math"/>
            <w:sz w:val="22"/>
            <w:szCs w:val="22"/>
          </w:rPr>
          <m:t>=D</m:t>
        </m:r>
        <m:r>
          <m:rPr>
            <m:lit/>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t</m:t>
            </m:r>
          </m:sub>
        </m:sSub>
      </m:oMath>
      <w:r w:rsidR="005129E7" w:rsidRPr="008927A9">
        <w:rPr>
          <w:sz w:val="22"/>
          <w:szCs w:val="22"/>
        </w:rPr>
        <w:t xml:space="preserve"> </w:t>
      </w:r>
      <w:r w:rsidR="008927A9" w:rsidRPr="008927A9">
        <w:rPr>
          <w:sz w:val="22"/>
          <w:szCs w:val="22"/>
        </w:rPr>
        <w:t>for some dollar demand</w:t>
      </w:r>
      <w:r w:rsidR="005129E7" w:rsidRPr="008927A9">
        <w:rPr>
          <w:sz w:val="22"/>
          <w:szCs w:val="22"/>
        </w:rPr>
        <w:t xml:space="preserve"> </w:t>
      </w:r>
      <m:oMath>
        <m:r>
          <m:rPr>
            <m:sty m:val="p"/>
          </m:rPr>
          <w:rPr>
            <w:rFonts w:ascii="Cambria Math" w:hAnsi="Cambria Math"/>
            <w:sz w:val="22"/>
            <w:szCs w:val="22"/>
          </w:rPr>
          <m:t>D</m:t>
        </m:r>
      </m:oMath>
      <w:r w:rsidR="00854299" w:rsidRPr="00854299">
        <w:rPr>
          <w:sz w:val="22"/>
          <w:szCs w:val="22"/>
          <w:vertAlign w:val="superscript"/>
        </w:rPr>
        <w:fldChar w:fldCharType="begin"/>
      </w:r>
      <w:r w:rsidR="00854299" w:rsidRPr="00854299">
        <w:rPr>
          <w:sz w:val="22"/>
          <w:szCs w:val="22"/>
          <w:vertAlign w:val="superscript"/>
        </w:rPr>
        <w:instrText xml:space="preserve"> REF _Ref215766094 \r \h </w:instrText>
      </w:r>
      <w:r w:rsidR="00854299">
        <w:rPr>
          <w:sz w:val="22"/>
          <w:szCs w:val="22"/>
          <w:vertAlign w:val="superscript"/>
        </w:rPr>
        <w:instrText xml:space="preserve"> \* MERGEFORMAT </w:instrText>
      </w:r>
      <w:r w:rsidR="00854299" w:rsidRPr="00854299">
        <w:rPr>
          <w:sz w:val="22"/>
          <w:szCs w:val="22"/>
          <w:vertAlign w:val="superscript"/>
        </w:rPr>
      </w:r>
      <w:r w:rsidR="00854299" w:rsidRPr="00854299">
        <w:rPr>
          <w:sz w:val="22"/>
          <w:szCs w:val="22"/>
          <w:vertAlign w:val="superscript"/>
        </w:rPr>
        <w:fldChar w:fldCharType="separate"/>
      </w:r>
      <w:r w:rsidR="00EE2D41">
        <w:rPr>
          <w:sz w:val="22"/>
          <w:szCs w:val="22"/>
          <w:vertAlign w:val="superscript"/>
        </w:rPr>
        <w:t>[2]</w:t>
      </w:r>
      <w:r w:rsidR="00854299" w:rsidRPr="00854299">
        <w:rPr>
          <w:sz w:val="22"/>
          <w:szCs w:val="22"/>
          <w:vertAlign w:val="superscript"/>
        </w:rPr>
        <w:fldChar w:fldCharType="end"/>
      </w:r>
      <w:r w:rsidR="008927A9" w:rsidRPr="008927A9">
        <w:rPr>
          <w:sz w:val="22"/>
          <w:szCs w:val="22"/>
        </w:rPr>
        <w:t>.</w:t>
      </w:r>
    </w:p>
    <w:p w14:paraId="4BF6E4E9" w14:textId="43101B41" w:rsidR="008927A9" w:rsidRPr="008927A9" w:rsidRDefault="008927A9" w:rsidP="008927A9">
      <w:pPr>
        <w:rPr>
          <w:sz w:val="22"/>
          <w:szCs w:val="22"/>
        </w:rPr>
      </w:pPr>
      <w:r w:rsidRPr="008927A9">
        <w:rPr>
          <w:sz w:val="22"/>
          <w:szCs w:val="22"/>
        </w:rPr>
        <w:lastRenderedPageBreak/>
        <w:t>Two constraints govern behavior: the collateral constraint (liquidation when value falls below</w:t>
      </w:r>
      <w:r w:rsidR="00F302B0" w:rsidRPr="008927A9">
        <w:rPr>
          <w:sz w:val="22"/>
          <w:szCs w:val="22"/>
        </w:rPr>
        <w:t xml:space="preserve"> </w:t>
      </w:r>
      <m:oMath>
        <m:r>
          <m:rPr>
            <m:sty m:val="p"/>
          </m:rPr>
          <w:rPr>
            <w:rFonts w:ascii="Cambria Math" w:hAnsi="Cambria Math"/>
            <w:sz w:val="22"/>
            <w:szCs w:val="22"/>
          </w:rPr>
          <m:t>β</m:t>
        </m:r>
        <m:sSub>
          <m:sSubPr>
            <m:ctrlPr>
              <w:rPr>
                <w:rFonts w:ascii="Cambria Math" w:hAnsi="Cambria Math"/>
                <w:sz w:val="22"/>
                <w:szCs w:val="22"/>
              </w:rPr>
            </m:ctrlPr>
          </m:sSubPr>
          <m:e>
            <m:r>
              <m:rPr>
                <m:sty m:val="p"/>
              </m:rPr>
              <w:rPr>
                <w:rFonts w:ascii="Cambria Math" w:hAnsi="Cambria Math"/>
                <w:sz w:val="22"/>
                <w:szCs w:val="22"/>
              </w:rPr>
              <m:t>L</m:t>
            </m:r>
          </m:e>
          <m:sub>
            <m:r>
              <m:rPr>
                <m:sty m:val="p"/>
              </m:rPr>
              <w:rPr>
                <w:rFonts w:ascii="Cambria Math" w:hAnsi="Cambria Math"/>
                <w:sz w:val="22"/>
                <w:szCs w:val="22"/>
              </w:rPr>
              <m:t>t</m:t>
            </m:r>
          </m:sub>
        </m:sSub>
      </m:oMath>
      <w:r w:rsidR="00F302B0" w:rsidRPr="008927A9">
        <w:rPr>
          <w:sz w:val="22"/>
          <w:szCs w:val="22"/>
        </w:rPr>
        <w:t xml:space="preserve"> </w:t>
      </w:r>
      <w:r w:rsidRPr="008927A9">
        <w:rPr>
          <w:sz w:val="22"/>
          <w:szCs w:val="22"/>
        </w:rPr>
        <w:t>and the market-clearing relationship between price and supply. Under mild assumptions on asset returns and fees, the authors show that speculators’ optimization is concave and yields well-defined best responses</w:t>
      </w:r>
      <w:r w:rsidR="00854299" w:rsidRPr="004A1E9C">
        <w:rPr>
          <w:sz w:val="22"/>
          <w:szCs w:val="22"/>
          <w:vertAlign w:val="superscript"/>
        </w:rPr>
        <w:fldChar w:fldCharType="begin"/>
      </w:r>
      <w:r w:rsidR="00854299" w:rsidRPr="004A1E9C">
        <w:rPr>
          <w:sz w:val="22"/>
          <w:szCs w:val="22"/>
          <w:vertAlign w:val="superscript"/>
        </w:rPr>
        <w:instrText xml:space="preserve"> REF _Ref215766094 \r \h </w:instrText>
      </w:r>
      <w:r w:rsidR="004A1E9C">
        <w:rPr>
          <w:sz w:val="22"/>
          <w:szCs w:val="22"/>
          <w:vertAlign w:val="superscript"/>
        </w:rPr>
        <w:instrText xml:space="preserve"> \* MERGEFORMAT </w:instrText>
      </w:r>
      <w:r w:rsidR="00854299" w:rsidRPr="004A1E9C">
        <w:rPr>
          <w:sz w:val="22"/>
          <w:szCs w:val="22"/>
          <w:vertAlign w:val="superscript"/>
        </w:rPr>
      </w:r>
      <w:r w:rsidR="00854299" w:rsidRPr="004A1E9C">
        <w:rPr>
          <w:sz w:val="22"/>
          <w:szCs w:val="22"/>
          <w:vertAlign w:val="superscript"/>
        </w:rPr>
        <w:fldChar w:fldCharType="separate"/>
      </w:r>
      <w:r w:rsidR="00EE2D41">
        <w:rPr>
          <w:sz w:val="22"/>
          <w:szCs w:val="22"/>
          <w:vertAlign w:val="superscript"/>
        </w:rPr>
        <w:t>[2]</w:t>
      </w:r>
      <w:r w:rsidR="00854299" w:rsidRPr="004A1E9C">
        <w:rPr>
          <w:sz w:val="22"/>
          <w:szCs w:val="22"/>
          <w:vertAlign w:val="superscript"/>
        </w:rPr>
        <w:fldChar w:fldCharType="end"/>
      </w:r>
      <w:r w:rsidRPr="008927A9">
        <w:rPr>
          <w:sz w:val="22"/>
          <w:szCs w:val="22"/>
        </w:rPr>
        <w:t xml:space="preserve">. Within this framework they identify a </w:t>
      </w:r>
      <w:r w:rsidRPr="008927A9">
        <w:rPr>
          <w:i/>
          <w:iCs/>
          <w:sz w:val="22"/>
          <w:szCs w:val="22"/>
        </w:rPr>
        <w:t>stable domain</w:t>
      </w:r>
      <w:r w:rsidRPr="008927A9">
        <w:rPr>
          <w:sz w:val="22"/>
          <w:szCs w:val="22"/>
        </w:rPr>
        <w:t xml:space="preserve"> in which deviations from the peg are rare and variance is bounded, and an </w:t>
      </w:r>
      <w:r w:rsidRPr="008927A9">
        <w:rPr>
          <w:i/>
          <w:iCs/>
          <w:sz w:val="22"/>
          <w:szCs w:val="22"/>
        </w:rPr>
        <w:t>unstable domain</w:t>
      </w:r>
      <w:r w:rsidRPr="008927A9">
        <w:rPr>
          <w:sz w:val="22"/>
          <w:szCs w:val="22"/>
        </w:rPr>
        <w:t xml:space="preserve"> in which the stochastic process can be driven far from the peg by deleveraging alone.</w:t>
      </w:r>
    </w:p>
    <w:p w14:paraId="59B8A8AB" w14:textId="0A582DBB" w:rsidR="008927A9" w:rsidRPr="008927A9" w:rsidRDefault="008927A9" w:rsidP="008927A9">
      <w:pPr>
        <w:rPr>
          <w:sz w:val="22"/>
          <w:szCs w:val="22"/>
        </w:rPr>
      </w:pPr>
      <w:r w:rsidRPr="008927A9">
        <w:rPr>
          <w:sz w:val="22"/>
          <w:szCs w:val="22"/>
        </w:rPr>
        <w:t xml:space="preserve">A key phenomenon is the </w:t>
      </w:r>
      <w:r w:rsidRPr="008927A9">
        <w:rPr>
          <w:b/>
          <w:bCs/>
          <w:sz w:val="22"/>
          <w:szCs w:val="22"/>
        </w:rPr>
        <w:t>deleveraging spiral</w:t>
      </w:r>
      <w:r w:rsidR="00854299" w:rsidRPr="004A1E9C">
        <w:rPr>
          <w:sz w:val="22"/>
          <w:szCs w:val="22"/>
          <w:vertAlign w:val="superscript"/>
        </w:rPr>
        <w:fldChar w:fldCharType="begin"/>
      </w:r>
      <w:r w:rsidR="00854299" w:rsidRPr="004A1E9C">
        <w:rPr>
          <w:sz w:val="22"/>
          <w:szCs w:val="22"/>
          <w:vertAlign w:val="superscript"/>
        </w:rPr>
        <w:instrText xml:space="preserve"> REF _Ref215766094 \r \h  \* MERGEFORMAT </w:instrText>
      </w:r>
      <w:r w:rsidR="00854299" w:rsidRPr="004A1E9C">
        <w:rPr>
          <w:sz w:val="22"/>
          <w:szCs w:val="22"/>
          <w:vertAlign w:val="superscript"/>
        </w:rPr>
      </w:r>
      <w:r w:rsidR="00854299" w:rsidRPr="004A1E9C">
        <w:rPr>
          <w:sz w:val="22"/>
          <w:szCs w:val="22"/>
          <w:vertAlign w:val="superscript"/>
        </w:rPr>
        <w:fldChar w:fldCharType="separate"/>
      </w:r>
      <w:r w:rsidR="00EE2D41">
        <w:rPr>
          <w:sz w:val="22"/>
          <w:szCs w:val="22"/>
          <w:vertAlign w:val="superscript"/>
        </w:rPr>
        <w:t>[2]</w:t>
      </w:r>
      <w:r w:rsidR="00854299" w:rsidRPr="004A1E9C">
        <w:rPr>
          <w:sz w:val="22"/>
          <w:szCs w:val="22"/>
          <w:vertAlign w:val="superscript"/>
        </w:rPr>
        <w:fldChar w:fldCharType="end"/>
      </w:r>
      <w:r w:rsidR="00854299" w:rsidRPr="004A1E9C">
        <w:rPr>
          <w:sz w:val="22"/>
          <w:szCs w:val="22"/>
          <w:vertAlign w:val="superscript"/>
        </w:rPr>
        <w:fldChar w:fldCharType="begin"/>
      </w:r>
      <w:r w:rsidR="00854299" w:rsidRPr="004A1E9C">
        <w:rPr>
          <w:sz w:val="22"/>
          <w:szCs w:val="22"/>
          <w:vertAlign w:val="superscript"/>
        </w:rPr>
        <w:instrText xml:space="preserve"> REF _Ref215766096 \r \h  \* MERGEFORMAT </w:instrText>
      </w:r>
      <w:r w:rsidR="00854299" w:rsidRPr="004A1E9C">
        <w:rPr>
          <w:sz w:val="22"/>
          <w:szCs w:val="22"/>
          <w:vertAlign w:val="superscript"/>
        </w:rPr>
      </w:r>
      <w:r w:rsidR="00854299" w:rsidRPr="004A1E9C">
        <w:rPr>
          <w:sz w:val="22"/>
          <w:szCs w:val="22"/>
          <w:vertAlign w:val="superscript"/>
        </w:rPr>
        <w:fldChar w:fldCharType="separate"/>
      </w:r>
      <w:r w:rsidR="00EE2D41">
        <w:rPr>
          <w:sz w:val="22"/>
          <w:szCs w:val="22"/>
          <w:vertAlign w:val="superscript"/>
        </w:rPr>
        <w:t>[3]</w:t>
      </w:r>
      <w:r w:rsidR="00854299" w:rsidRPr="004A1E9C">
        <w:rPr>
          <w:sz w:val="22"/>
          <w:szCs w:val="22"/>
          <w:vertAlign w:val="superscript"/>
        </w:rPr>
        <w:fldChar w:fldCharType="end"/>
      </w:r>
      <w:r w:rsidRPr="008927A9">
        <w:rPr>
          <w:sz w:val="22"/>
          <w:szCs w:val="22"/>
        </w:rPr>
        <w:t>. When the collateral price crashes, many positions breach their collateral requirement and are liquidated</w:t>
      </w:r>
      <w:r w:rsidR="00B661A4">
        <w:rPr>
          <w:rFonts w:hint="eastAsia"/>
          <w:sz w:val="22"/>
          <w:szCs w:val="22"/>
        </w:rPr>
        <w:t>,</w:t>
      </w:r>
      <w:r w:rsidRPr="008927A9">
        <w:rPr>
          <w:sz w:val="22"/>
          <w:szCs w:val="22"/>
        </w:rPr>
        <w:t xml:space="preserve"> </w:t>
      </w:r>
      <w:r w:rsidR="00B661A4">
        <w:rPr>
          <w:rFonts w:hint="eastAsia"/>
          <w:sz w:val="22"/>
          <w:szCs w:val="22"/>
        </w:rPr>
        <w:t>which</w:t>
      </w:r>
      <w:r w:rsidRPr="008927A9">
        <w:rPr>
          <w:sz w:val="22"/>
          <w:szCs w:val="22"/>
        </w:rPr>
        <w:t xml:space="preserve"> are paid with stablecoins that are burned, </w:t>
      </w:r>
      <w:r w:rsidR="00B661A4">
        <w:rPr>
          <w:rFonts w:hint="eastAsia"/>
          <w:sz w:val="22"/>
          <w:szCs w:val="22"/>
        </w:rPr>
        <w:t xml:space="preserve">and which </w:t>
      </w:r>
      <w:r w:rsidRPr="008927A9">
        <w:rPr>
          <w:sz w:val="22"/>
          <w:szCs w:val="22"/>
        </w:rPr>
        <w:t>decreas</w:t>
      </w:r>
      <w:r w:rsidR="00B661A4">
        <w:rPr>
          <w:rFonts w:hint="eastAsia"/>
          <w:sz w:val="22"/>
          <w:szCs w:val="22"/>
        </w:rPr>
        <w:t>es</w:t>
      </w:r>
      <w:r w:rsidRPr="008927A9">
        <w:rPr>
          <w:sz w:val="22"/>
          <w:szCs w:val="22"/>
        </w:rPr>
        <w:t xml:space="preserve"> supply. If dollar demand </w:t>
      </w:r>
      <m:oMath>
        <m:r>
          <w:rPr>
            <w:rFonts w:ascii="Cambria Math" w:hAnsi="Cambria Math"/>
            <w:sz w:val="22"/>
            <w:szCs w:val="22"/>
          </w:rPr>
          <m:t>D</m:t>
        </m:r>
      </m:oMath>
      <w:r w:rsidRPr="008927A9">
        <w:rPr>
          <w:sz w:val="22"/>
          <w:szCs w:val="22"/>
        </w:rPr>
        <w:t xml:space="preserve"> is slow to adjust</w:t>
      </w:r>
      <w:r w:rsidR="00B661A4">
        <w:rPr>
          <w:rFonts w:hint="eastAsia"/>
          <w:sz w:val="22"/>
          <w:szCs w:val="22"/>
        </w:rPr>
        <w:t xml:space="preserve"> (</w:t>
      </w:r>
      <w:r w:rsidRPr="008927A9">
        <w:rPr>
          <w:sz w:val="22"/>
          <w:szCs w:val="22"/>
        </w:rPr>
        <w:t>because stablecoins are locked in DeFi contracts or users face frictions</w:t>
      </w:r>
      <w:r w:rsidR="00B661A4">
        <w:rPr>
          <w:rFonts w:hint="eastAsia"/>
          <w:sz w:val="22"/>
          <w:szCs w:val="22"/>
        </w:rPr>
        <w:t xml:space="preserve">), </w:t>
      </w:r>
      <w:r w:rsidRPr="008927A9">
        <w:rPr>
          <w:sz w:val="22"/>
          <w:szCs w:val="22"/>
        </w:rPr>
        <w:t xml:space="preserve">then reducing supply forces the stablecoin price </w:t>
      </w:r>
      <w:r w:rsidRPr="008927A9">
        <w:rPr>
          <w:i/>
          <w:iCs/>
          <w:sz w:val="22"/>
          <w:szCs w:val="22"/>
        </w:rPr>
        <w:t>above</w:t>
      </w:r>
      <w:r w:rsidRPr="008927A9">
        <w:rPr>
          <w:sz w:val="22"/>
          <w:szCs w:val="22"/>
        </w:rPr>
        <w:t xml:space="preserve"> $1, since</w:t>
      </w:r>
      <w:r w:rsidR="00B661A4" w:rsidRPr="008927A9">
        <w:rPr>
          <w:sz w:val="22"/>
          <w:szCs w:val="22"/>
        </w:rPr>
        <w:t xml:space="preserve"> </w:t>
      </w:r>
      <m:oMath>
        <m:sSub>
          <m:sSubPr>
            <m:ctrlPr>
              <w:rPr>
                <w:rFonts w:ascii="Cambria Math" w:hAnsi="Cambria Math"/>
                <w:sz w:val="22"/>
                <w:szCs w:val="22"/>
              </w:rPr>
            </m:ctrlPr>
          </m:sSubPr>
          <m:e>
            <m:r>
              <m:rPr>
                <m:sty m:val="p"/>
              </m:rPr>
              <w:rPr>
                <w:rFonts w:ascii="Cambria Math" w:hAnsi="Cambria Math"/>
                <w:sz w:val="22"/>
                <w:szCs w:val="22"/>
              </w:rPr>
              <m:t>Z</m:t>
            </m:r>
          </m:e>
          <m:sub>
            <m:r>
              <w:rPr>
                <w:rFonts w:ascii="Cambria Math" w:hAnsi="Cambria Math"/>
                <w:sz w:val="22"/>
                <w:szCs w:val="22"/>
              </w:rPr>
              <m:t>t</m:t>
            </m:r>
          </m:sub>
        </m:sSub>
        <m:r>
          <w:rPr>
            <w:rFonts w:ascii="Cambria Math" w:hAnsi="Cambria Math"/>
            <w:sz w:val="22"/>
            <w:szCs w:val="22"/>
          </w:rPr>
          <m:t>=D</m:t>
        </m:r>
        <m:r>
          <m:rPr>
            <m:lit/>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t</m:t>
            </m:r>
          </m:sub>
        </m:sSub>
      </m:oMath>
      <w:r w:rsidR="00B661A4" w:rsidRPr="008927A9">
        <w:rPr>
          <w:sz w:val="22"/>
          <w:szCs w:val="22"/>
        </w:rPr>
        <w:t xml:space="preserve"> </w:t>
      </w:r>
      <w:r w:rsidRPr="008927A9">
        <w:rPr>
          <w:sz w:val="22"/>
          <w:szCs w:val="22"/>
        </w:rPr>
        <w:t>increases as</w:t>
      </w:r>
      <w:r w:rsidR="00B661A4" w:rsidRPr="008927A9">
        <w:rPr>
          <w:sz w:val="22"/>
          <w:szCs w:val="22"/>
        </w:rPr>
        <w:t xml:space="preserve">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t</m:t>
            </m:r>
          </m:sub>
        </m:sSub>
      </m:oMath>
      <w:r w:rsidR="00B661A4" w:rsidRPr="008927A9">
        <w:rPr>
          <w:sz w:val="22"/>
          <w:szCs w:val="22"/>
        </w:rPr>
        <w:t xml:space="preserve"> </w:t>
      </w:r>
      <w:r w:rsidRPr="008927A9">
        <w:rPr>
          <w:sz w:val="22"/>
          <w:szCs w:val="22"/>
        </w:rPr>
        <w:t xml:space="preserve">falls. </w:t>
      </w:r>
      <w:r w:rsidR="00B661A4">
        <w:rPr>
          <w:rFonts w:hint="eastAsia"/>
          <w:sz w:val="22"/>
          <w:szCs w:val="22"/>
        </w:rPr>
        <w:t>Because of t</w:t>
      </w:r>
      <w:r w:rsidRPr="008927A9">
        <w:rPr>
          <w:sz w:val="22"/>
          <w:szCs w:val="22"/>
        </w:rPr>
        <w:t>his premium</w:t>
      </w:r>
      <w:r w:rsidR="00B661A4">
        <w:rPr>
          <w:rFonts w:hint="eastAsia"/>
          <w:sz w:val="22"/>
          <w:szCs w:val="22"/>
        </w:rPr>
        <w:t>,</w:t>
      </w:r>
      <w:r w:rsidRPr="008927A9">
        <w:rPr>
          <w:sz w:val="22"/>
          <w:szCs w:val="22"/>
        </w:rPr>
        <w:t xml:space="preserve"> liquidations become more costly in collateral terms, and voluntary deleveraging requires repurchasing stablecoins at an inflated price. The system can enter a deflationary spiral in which collateral is drained rapidly while the stablecoin trades at a premium</w:t>
      </w:r>
      <w:r w:rsidR="00B661A4">
        <w:rPr>
          <w:rFonts w:hint="eastAsia"/>
          <w:sz w:val="22"/>
          <w:szCs w:val="22"/>
        </w:rPr>
        <w:t>.</w:t>
      </w:r>
    </w:p>
    <w:p w14:paraId="1C2B82C9" w14:textId="79F9EEFC" w:rsidR="008927A9" w:rsidRPr="008927A9" w:rsidRDefault="008927A9" w:rsidP="008927A9">
      <w:pPr>
        <w:rPr>
          <w:sz w:val="22"/>
          <w:szCs w:val="22"/>
        </w:rPr>
      </w:pPr>
      <w:r w:rsidRPr="008927A9">
        <w:rPr>
          <w:sz w:val="22"/>
          <w:szCs w:val="22"/>
        </w:rPr>
        <w:t>Black Thursday in March 2020 provides an empirical case study</w:t>
      </w:r>
      <w:r w:rsidR="00B661A4">
        <w:rPr>
          <w:rFonts w:hint="eastAsia"/>
          <w:sz w:val="22"/>
          <w:szCs w:val="22"/>
        </w:rPr>
        <w:t>.</w:t>
      </w:r>
      <w:r w:rsidRPr="008927A9">
        <w:rPr>
          <w:sz w:val="22"/>
          <w:szCs w:val="22"/>
        </w:rPr>
        <w:t xml:space="preserve"> </w:t>
      </w:r>
      <w:r w:rsidR="00B661A4">
        <w:rPr>
          <w:rFonts w:hint="eastAsia"/>
          <w:sz w:val="22"/>
          <w:szCs w:val="22"/>
        </w:rPr>
        <w:t>A</w:t>
      </w:r>
      <w:r w:rsidRPr="008927A9">
        <w:rPr>
          <w:sz w:val="22"/>
          <w:szCs w:val="22"/>
        </w:rPr>
        <w:t xml:space="preserve"> sharp drop in ETH price, combined with Ethereum congestion, caused Maker liquidations to clear at near-zero bids, leaving a system-wide collateral shortfall. Dai traded at substantial premiums as users scrambled to acquire the stablecoin to close positions</w:t>
      </w:r>
      <w:r w:rsidR="00854299" w:rsidRPr="004A1E9C">
        <w:rPr>
          <w:sz w:val="22"/>
          <w:szCs w:val="22"/>
          <w:vertAlign w:val="superscript"/>
        </w:rPr>
        <w:fldChar w:fldCharType="begin"/>
      </w:r>
      <w:r w:rsidR="00854299" w:rsidRPr="004A1E9C">
        <w:rPr>
          <w:sz w:val="22"/>
          <w:szCs w:val="22"/>
          <w:vertAlign w:val="superscript"/>
        </w:rPr>
        <w:instrText xml:space="preserve"> REF _Ref215766094 \r \h  \* MERGEFORMAT </w:instrText>
      </w:r>
      <w:r w:rsidR="00854299" w:rsidRPr="004A1E9C">
        <w:rPr>
          <w:sz w:val="22"/>
          <w:szCs w:val="22"/>
          <w:vertAlign w:val="superscript"/>
        </w:rPr>
      </w:r>
      <w:r w:rsidR="00854299" w:rsidRPr="004A1E9C">
        <w:rPr>
          <w:sz w:val="22"/>
          <w:szCs w:val="22"/>
          <w:vertAlign w:val="superscript"/>
        </w:rPr>
        <w:fldChar w:fldCharType="separate"/>
      </w:r>
      <w:r w:rsidR="00EE2D41">
        <w:rPr>
          <w:sz w:val="22"/>
          <w:szCs w:val="22"/>
          <w:vertAlign w:val="superscript"/>
        </w:rPr>
        <w:t>[2]</w:t>
      </w:r>
      <w:r w:rsidR="00854299" w:rsidRPr="004A1E9C">
        <w:rPr>
          <w:sz w:val="22"/>
          <w:szCs w:val="22"/>
          <w:vertAlign w:val="superscript"/>
        </w:rPr>
        <w:fldChar w:fldCharType="end"/>
      </w:r>
      <w:r w:rsidR="00854299" w:rsidRPr="004A1E9C">
        <w:rPr>
          <w:sz w:val="22"/>
          <w:szCs w:val="22"/>
          <w:vertAlign w:val="superscript"/>
        </w:rPr>
        <w:fldChar w:fldCharType="begin"/>
      </w:r>
      <w:r w:rsidR="00854299" w:rsidRPr="004A1E9C">
        <w:rPr>
          <w:sz w:val="22"/>
          <w:szCs w:val="22"/>
          <w:vertAlign w:val="superscript"/>
        </w:rPr>
        <w:instrText xml:space="preserve"> REF _Ref215766096 \r \h  \* MERGEFORMAT </w:instrText>
      </w:r>
      <w:r w:rsidR="00854299" w:rsidRPr="004A1E9C">
        <w:rPr>
          <w:sz w:val="22"/>
          <w:szCs w:val="22"/>
          <w:vertAlign w:val="superscript"/>
        </w:rPr>
      </w:r>
      <w:r w:rsidR="00854299" w:rsidRPr="004A1E9C">
        <w:rPr>
          <w:sz w:val="22"/>
          <w:szCs w:val="22"/>
          <w:vertAlign w:val="superscript"/>
        </w:rPr>
        <w:fldChar w:fldCharType="separate"/>
      </w:r>
      <w:r w:rsidR="00EE2D41">
        <w:rPr>
          <w:sz w:val="22"/>
          <w:szCs w:val="22"/>
          <w:vertAlign w:val="superscript"/>
        </w:rPr>
        <w:t>[3]</w:t>
      </w:r>
      <w:r w:rsidR="00854299" w:rsidRPr="004A1E9C">
        <w:rPr>
          <w:sz w:val="22"/>
          <w:szCs w:val="22"/>
          <w:vertAlign w:val="superscript"/>
        </w:rPr>
        <w:fldChar w:fldCharType="end"/>
      </w:r>
      <w:r w:rsidRPr="008927A9">
        <w:rPr>
          <w:sz w:val="22"/>
          <w:szCs w:val="22"/>
        </w:rPr>
        <w:t>. Earlier models of “stablecoin attacks” drew similar lessons from events in bitUSD, Steem Dollars, and NuBits: levered stablecoins can fail through endogenous feedback even without explicit protocol bugs</w:t>
      </w:r>
      <w:r w:rsidR="00854299" w:rsidRPr="004A1E9C">
        <w:rPr>
          <w:sz w:val="22"/>
          <w:szCs w:val="22"/>
          <w:vertAlign w:val="superscript"/>
        </w:rPr>
        <w:fldChar w:fldCharType="begin"/>
      </w:r>
      <w:r w:rsidR="00854299" w:rsidRPr="004A1E9C">
        <w:rPr>
          <w:sz w:val="22"/>
          <w:szCs w:val="22"/>
          <w:vertAlign w:val="superscript"/>
        </w:rPr>
        <w:instrText xml:space="preserve"> REF _Ref215766096 \r \h  \* MERGEFORMAT </w:instrText>
      </w:r>
      <w:r w:rsidR="00854299" w:rsidRPr="004A1E9C">
        <w:rPr>
          <w:sz w:val="22"/>
          <w:szCs w:val="22"/>
          <w:vertAlign w:val="superscript"/>
        </w:rPr>
      </w:r>
      <w:r w:rsidR="00854299" w:rsidRPr="004A1E9C">
        <w:rPr>
          <w:sz w:val="22"/>
          <w:szCs w:val="22"/>
          <w:vertAlign w:val="superscript"/>
        </w:rPr>
        <w:fldChar w:fldCharType="separate"/>
      </w:r>
      <w:r w:rsidR="00EE2D41">
        <w:rPr>
          <w:sz w:val="22"/>
          <w:szCs w:val="22"/>
          <w:vertAlign w:val="superscript"/>
        </w:rPr>
        <w:t>[3]</w:t>
      </w:r>
      <w:r w:rsidR="00854299" w:rsidRPr="004A1E9C">
        <w:rPr>
          <w:sz w:val="22"/>
          <w:szCs w:val="22"/>
          <w:vertAlign w:val="superscript"/>
        </w:rPr>
        <w:fldChar w:fldCharType="end"/>
      </w:r>
      <w:r w:rsidRPr="008927A9">
        <w:rPr>
          <w:sz w:val="22"/>
          <w:szCs w:val="22"/>
        </w:rPr>
        <w:t>.</w:t>
      </w:r>
    </w:p>
    <w:p w14:paraId="4C452A9E" w14:textId="138DCFB6" w:rsidR="008927A9" w:rsidRPr="008927A9" w:rsidRDefault="008927A9" w:rsidP="008927A9">
      <w:pPr>
        <w:rPr>
          <w:sz w:val="22"/>
          <w:szCs w:val="22"/>
        </w:rPr>
      </w:pPr>
      <w:r w:rsidRPr="008927A9">
        <w:rPr>
          <w:sz w:val="22"/>
          <w:szCs w:val="22"/>
        </w:rPr>
        <w:t xml:space="preserve">Stablecoins 2.0 complements this stochastic analysis with a capital-structure view of </w:t>
      </w:r>
      <w:r w:rsidRPr="008927A9">
        <w:rPr>
          <w:i/>
          <w:iCs/>
          <w:sz w:val="22"/>
          <w:szCs w:val="22"/>
        </w:rPr>
        <w:t>incentive security</w:t>
      </w:r>
      <w:r w:rsidR="00854299" w:rsidRPr="004A1E9C">
        <w:rPr>
          <w:sz w:val="22"/>
          <w:szCs w:val="22"/>
          <w:vertAlign w:val="superscript"/>
        </w:rPr>
        <w:fldChar w:fldCharType="begin"/>
      </w:r>
      <w:r w:rsidR="00854299" w:rsidRPr="004A1E9C">
        <w:rPr>
          <w:sz w:val="22"/>
          <w:szCs w:val="22"/>
          <w:vertAlign w:val="superscript"/>
        </w:rPr>
        <w:instrText xml:space="preserve"> REF _Ref215766038 \r \h  \* MERGEFORMAT </w:instrText>
      </w:r>
      <w:r w:rsidR="00854299" w:rsidRPr="004A1E9C">
        <w:rPr>
          <w:sz w:val="22"/>
          <w:szCs w:val="22"/>
          <w:vertAlign w:val="superscript"/>
        </w:rPr>
      </w:r>
      <w:r w:rsidR="00854299" w:rsidRPr="004A1E9C">
        <w:rPr>
          <w:sz w:val="22"/>
          <w:szCs w:val="22"/>
          <w:vertAlign w:val="superscript"/>
        </w:rPr>
        <w:fldChar w:fldCharType="separate"/>
      </w:r>
      <w:r w:rsidR="00EE2D41">
        <w:rPr>
          <w:sz w:val="22"/>
          <w:szCs w:val="22"/>
          <w:vertAlign w:val="superscript"/>
        </w:rPr>
        <w:t>[1]</w:t>
      </w:r>
      <w:r w:rsidR="00854299" w:rsidRPr="004A1E9C">
        <w:rPr>
          <w:sz w:val="22"/>
          <w:szCs w:val="22"/>
          <w:vertAlign w:val="superscript"/>
        </w:rPr>
        <w:fldChar w:fldCharType="end"/>
      </w:r>
      <w:r w:rsidRPr="008927A9">
        <w:rPr>
          <w:sz w:val="22"/>
          <w:szCs w:val="22"/>
        </w:rPr>
        <w:t>. If governance token holders can expropriate collateral</w:t>
      </w:r>
      <w:r w:rsidR="00B661A4">
        <w:rPr>
          <w:rFonts w:hint="eastAsia"/>
          <w:sz w:val="22"/>
          <w:szCs w:val="22"/>
        </w:rPr>
        <w:t xml:space="preserve">, </w:t>
      </w:r>
      <w:r w:rsidRPr="008927A9">
        <w:rPr>
          <w:sz w:val="22"/>
          <w:szCs w:val="22"/>
        </w:rPr>
        <w:t>by voting to change rules once they control a quorum</w:t>
      </w:r>
      <w:r w:rsidR="00B661A4">
        <w:rPr>
          <w:rFonts w:hint="eastAsia"/>
          <w:sz w:val="22"/>
          <w:szCs w:val="22"/>
        </w:rPr>
        <w:t xml:space="preserve"> </w:t>
      </w:r>
      <w:r w:rsidR="00B661A4" w:rsidRPr="008927A9">
        <w:rPr>
          <w:sz w:val="22"/>
          <w:szCs w:val="22"/>
        </w:rPr>
        <w:t>for instance</w:t>
      </w:r>
      <w:r w:rsidR="00B661A4">
        <w:rPr>
          <w:rFonts w:hint="eastAsia"/>
          <w:sz w:val="22"/>
          <w:szCs w:val="22"/>
        </w:rPr>
        <w:t xml:space="preserve">, </w:t>
      </w:r>
      <w:r w:rsidRPr="008927A9">
        <w:rPr>
          <w:sz w:val="22"/>
          <w:szCs w:val="22"/>
        </w:rPr>
        <w:t>there may exist parameter regions where such an attack is strictly profitable. Anticipating this, rational vault owners and stablecoin users may never enter the system. The design problem is thus to choose governance rules and legal constraints so that the expected present value of honest operation outweighs any one-shot theft, aligning participation incentives for all agents</w:t>
      </w:r>
      <w:r w:rsidR="00854299" w:rsidRPr="004A1E9C">
        <w:rPr>
          <w:sz w:val="22"/>
          <w:szCs w:val="22"/>
          <w:vertAlign w:val="superscript"/>
        </w:rPr>
        <w:fldChar w:fldCharType="begin"/>
      </w:r>
      <w:r w:rsidR="00854299" w:rsidRPr="004A1E9C">
        <w:rPr>
          <w:sz w:val="22"/>
          <w:szCs w:val="22"/>
          <w:vertAlign w:val="superscript"/>
        </w:rPr>
        <w:instrText xml:space="preserve"> REF _Ref215766038 \r \h </w:instrText>
      </w:r>
      <w:r w:rsidR="004A1E9C">
        <w:rPr>
          <w:sz w:val="22"/>
          <w:szCs w:val="22"/>
          <w:vertAlign w:val="superscript"/>
        </w:rPr>
        <w:instrText xml:space="preserve"> \* MERGEFORMAT </w:instrText>
      </w:r>
      <w:r w:rsidR="00854299" w:rsidRPr="004A1E9C">
        <w:rPr>
          <w:sz w:val="22"/>
          <w:szCs w:val="22"/>
          <w:vertAlign w:val="superscript"/>
        </w:rPr>
      </w:r>
      <w:r w:rsidR="00854299" w:rsidRPr="004A1E9C">
        <w:rPr>
          <w:sz w:val="22"/>
          <w:szCs w:val="22"/>
          <w:vertAlign w:val="superscript"/>
        </w:rPr>
        <w:fldChar w:fldCharType="separate"/>
      </w:r>
      <w:r w:rsidR="00EE2D41">
        <w:rPr>
          <w:sz w:val="22"/>
          <w:szCs w:val="22"/>
          <w:vertAlign w:val="superscript"/>
        </w:rPr>
        <w:t>[1]</w:t>
      </w:r>
      <w:r w:rsidR="00854299" w:rsidRPr="004A1E9C">
        <w:rPr>
          <w:sz w:val="22"/>
          <w:szCs w:val="22"/>
          <w:vertAlign w:val="superscript"/>
        </w:rPr>
        <w:fldChar w:fldCharType="end"/>
      </w:r>
      <w:r w:rsidRPr="008927A9">
        <w:rPr>
          <w:sz w:val="22"/>
          <w:szCs w:val="22"/>
        </w:rPr>
        <w:t>.</w:t>
      </w:r>
    </w:p>
    <w:p w14:paraId="2A9867A3" w14:textId="7FFCA082" w:rsidR="008927A9" w:rsidRPr="008927A9" w:rsidRDefault="009164B2" w:rsidP="008927A9">
      <w:pPr>
        <w:rPr>
          <w:sz w:val="22"/>
          <w:szCs w:val="22"/>
        </w:rPr>
      </w:pPr>
      <w:r w:rsidRPr="009164B2">
        <w:rPr>
          <w:sz w:val="22"/>
          <w:szCs w:val="22"/>
        </w:rPr>
        <w:t>The premise of the discussion of the risks of these stablecoins is that the importance of stablecoins to DeFi is self-evident</w:t>
      </w:r>
      <w:r>
        <w:rPr>
          <w:rFonts w:hint="eastAsia"/>
          <w:sz w:val="22"/>
          <w:szCs w:val="22"/>
        </w:rPr>
        <w:t>,</w:t>
      </w:r>
      <w:r w:rsidR="008927A9" w:rsidRPr="008927A9">
        <w:rPr>
          <w:sz w:val="22"/>
          <w:szCs w:val="22"/>
        </w:rPr>
        <w:t xml:space="preserve"> not only because they represent “stable money” but because they act as </w:t>
      </w:r>
      <w:r w:rsidR="008927A9" w:rsidRPr="008927A9">
        <w:rPr>
          <w:i/>
          <w:iCs/>
          <w:sz w:val="22"/>
          <w:szCs w:val="22"/>
        </w:rPr>
        <w:t>universal collateral</w:t>
      </w:r>
      <w:r w:rsidR="008927A9" w:rsidRPr="008927A9">
        <w:rPr>
          <w:sz w:val="22"/>
          <w:szCs w:val="22"/>
        </w:rPr>
        <w:t xml:space="preserve"> and </w:t>
      </w:r>
      <w:r w:rsidR="008927A9" w:rsidRPr="008927A9">
        <w:rPr>
          <w:i/>
          <w:iCs/>
          <w:sz w:val="22"/>
          <w:szCs w:val="22"/>
        </w:rPr>
        <w:t>numéraire</w:t>
      </w:r>
      <w:r w:rsidR="008927A9" w:rsidRPr="008927A9">
        <w:rPr>
          <w:sz w:val="22"/>
          <w:szCs w:val="22"/>
        </w:rPr>
        <w:t xml:space="preserve"> for an entire ecosystem. Most on-chain lending is denominated in stablecoins, and they are the base asset for many derivatives and synthetic positions. They also increasingly serve as cross-border payment rails and as a dollar substitute in high-inflation economies</w:t>
      </w:r>
      <w:r w:rsidR="00854299" w:rsidRPr="004A1E9C">
        <w:rPr>
          <w:sz w:val="22"/>
          <w:szCs w:val="22"/>
          <w:vertAlign w:val="superscript"/>
        </w:rPr>
        <w:fldChar w:fldCharType="begin"/>
      </w:r>
      <w:r w:rsidR="00854299" w:rsidRPr="004A1E9C">
        <w:rPr>
          <w:sz w:val="22"/>
          <w:szCs w:val="22"/>
          <w:vertAlign w:val="superscript"/>
        </w:rPr>
        <w:instrText xml:space="preserve"> REF _Ref215766287 \r \h </w:instrText>
      </w:r>
      <w:r w:rsidR="004A1E9C">
        <w:rPr>
          <w:sz w:val="22"/>
          <w:szCs w:val="22"/>
          <w:vertAlign w:val="superscript"/>
        </w:rPr>
        <w:instrText xml:space="preserve"> \* MERGEFORMAT </w:instrText>
      </w:r>
      <w:r w:rsidR="00854299" w:rsidRPr="004A1E9C">
        <w:rPr>
          <w:sz w:val="22"/>
          <w:szCs w:val="22"/>
          <w:vertAlign w:val="superscript"/>
        </w:rPr>
      </w:r>
      <w:r w:rsidR="00854299" w:rsidRPr="004A1E9C">
        <w:rPr>
          <w:sz w:val="22"/>
          <w:szCs w:val="22"/>
          <w:vertAlign w:val="superscript"/>
        </w:rPr>
        <w:fldChar w:fldCharType="separate"/>
      </w:r>
      <w:r w:rsidR="00EE2D41">
        <w:rPr>
          <w:sz w:val="22"/>
          <w:szCs w:val="22"/>
          <w:vertAlign w:val="superscript"/>
        </w:rPr>
        <w:t>[4]</w:t>
      </w:r>
      <w:r w:rsidR="00854299" w:rsidRPr="004A1E9C">
        <w:rPr>
          <w:sz w:val="22"/>
          <w:szCs w:val="22"/>
          <w:vertAlign w:val="superscript"/>
        </w:rPr>
        <w:fldChar w:fldCharType="end"/>
      </w:r>
      <w:r w:rsidR="00854299" w:rsidRPr="004A1E9C">
        <w:rPr>
          <w:sz w:val="22"/>
          <w:szCs w:val="22"/>
          <w:vertAlign w:val="superscript"/>
        </w:rPr>
        <w:fldChar w:fldCharType="begin"/>
      </w:r>
      <w:r w:rsidR="00854299" w:rsidRPr="004A1E9C">
        <w:rPr>
          <w:sz w:val="22"/>
          <w:szCs w:val="22"/>
          <w:vertAlign w:val="superscript"/>
        </w:rPr>
        <w:instrText xml:space="preserve"> REF _Ref215766288 \r \h </w:instrText>
      </w:r>
      <w:r w:rsidR="004A1E9C">
        <w:rPr>
          <w:sz w:val="22"/>
          <w:szCs w:val="22"/>
          <w:vertAlign w:val="superscript"/>
        </w:rPr>
        <w:instrText xml:space="preserve"> \* MERGEFORMAT </w:instrText>
      </w:r>
      <w:r w:rsidR="00854299" w:rsidRPr="004A1E9C">
        <w:rPr>
          <w:sz w:val="22"/>
          <w:szCs w:val="22"/>
          <w:vertAlign w:val="superscript"/>
        </w:rPr>
      </w:r>
      <w:r w:rsidR="00854299" w:rsidRPr="004A1E9C">
        <w:rPr>
          <w:sz w:val="22"/>
          <w:szCs w:val="22"/>
          <w:vertAlign w:val="superscript"/>
        </w:rPr>
        <w:fldChar w:fldCharType="separate"/>
      </w:r>
      <w:r w:rsidR="00EE2D41">
        <w:rPr>
          <w:sz w:val="22"/>
          <w:szCs w:val="22"/>
          <w:vertAlign w:val="superscript"/>
        </w:rPr>
        <w:t>[5]</w:t>
      </w:r>
      <w:r w:rsidR="00854299" w:rsidRPr="004A1E9C">
        <w:rPr>
          <w:sz w:val="22"/>
          <w:szCs w:val="22"/>
          <w:vertAlign w:val="superscript"/>
        </w:rPr>
        <w:fldChar w:fldCharType="end"/>
      </w:r>
      <w:r w:rsidR="008927A9" w:rsidRPr="008927A9">
        <w:rPr>
          <w:sz w:val="22"/>
          <w:szCs w:val="22"/>
        </w:rPr>
        <w:t xml:space="preserve">. This centrality makes their failure </w:t>
      </w:r>
      <w:r w:rsidR="00A402E0">
        <w:rPr>
          <w:rFonts w:hint="eastAsia"/>
          <w:sz w:val="22"/>
          <w:szCs w:val="22"/>
        </w:rPr>
        <w:t xml:space="preserve">become </w:t>
      </w:r>
      <w:r w:rsidR="008927A9" w:rsidRPr="008927A9">
        <w:rPr>
          <w:sz w:val="22"/>
          <w:szCs w:val="22"/>
        </w:rPr>
        <w:t>a source of systemic risk</w:t>
      </w:r>
      <w:r w:rsidR="00A402E0">
        <w:rPr>
          <w:rFonts w:hint="eastAsia"/>
          <w:sz w:val="22"/>
          <w:szCs w:val="22"/>
        </w:rPr>
        <w:t>,</w:t>
      </w:r>
      <w:r w:rsidR="008927A9" w:rsidRPr="008927A9">
        <w:rPr>
          <w:sz w:val="22"/>
          <w:szCs w:val="22"/>
        </w:rPr>
        <w:t xml:space="preserve"> </w:t>
      </w:r>
      <w:r w:rsidR="00A402E0">
        <w:rPr>
          <w:rFonts w:hint="eastAsia"/>
          <w:sz w:val="22"/>
          <w:szCs w:val="22"/>
        </w:rPr>
        <w:t>which</w:t>
      </w:r>
      <w:r w:rsidR="008927A9" w:rsidRPr="008927A9">
        <w:rPr>
          <w:sz w:val="22"/>
          <w:szCs w:val="22"/>
        </w:rPr>
        <w:t xml:space="preserve"> can propagate through liquidation cascades, oracle dependencies, and MEV-driven arbitrage across multiple protocols simultaneously</w:t>
      </w:r>
      <w:r w:rsidR="00854299" w:rsidRPr="004A1E9C">
        <w:rPr>
          <w:sz w:val="22"/>
          <w:szCs w:val="22"/>
          <w:vertAlign w:val="superscript"/>
        </w:rPr>
        <w:fldChar w:fldCharType="begin"/>
      </w:r>
      <w:r w:rsidR="00854299" w:rsidRPr="004A1E9C">
        <w:rPr>
          <w:sz w:val="22"/>
          <w:szCs w:val="22"/>
          <w:vertAlign w:val="superscript"/>
        </w:rPr>
        <w:instrText xml:space="preserve"> REF _Ref215766096 \r \h </w:instrText>
      </w:r>
      <w:r w:rsidR="004A1E9C">
        <w:rPr>
          <w:sz w:val="22"/>
          <w:szCs w:val="22"/>
          <w:vertAlign w:val="superscript"/>
        </w:rPr>
        <w:instrText xml:space="preserve"> \* MERGEFORMAT </w:instrText>
      </w:r>
      <w:r w:rsidR="00854299" w:rsidRPr="004A1E9C">
        <w:rPr>
          <w:sz w:val="22"/>
          <w:szCs w:val="22"/>
          <w:vertAlign w:val="superscript"/>
        </w:rPr>
      </w:r>
      <w:r w:rsidR="00854299" w:rsidRPr="004A1E9C">
        <w:rPr>
          <w:sz w:val="22"/>
          <w:szCs w:val="22"/>
          <w:vertAlign w:val="superscript"/>
        </w:rPr>
        <w:fldChar w:fldCharType="separate"/>
      </w:r>
      <w:r w:rsidR="00EE2D41">
        <w:rPr>
          <w:sz w:val="22"/>
          <w:szCs w:val="22"/>
          <w:vertAlign w:val="superscript"/>
        </w:rPr>
        <w:t>[3]</w:t>
      </w:r>
      <w:r w:rsidR="00854299" w:rsidRPr="004A1E9C">
        <w:rPr>
          <w:sz w:val="22"/>
          <w:szCs w:val="22"/>
          <w:vertAlign w:val="superscript"/>
        </w:rPr>
        <w:fldChar w:fldCharType="end"/>
      </w:r>
      <w:r w:rsidR="008927A9" w:rsidRPr="008927A9">
        <w:rPr>
          <w:sz w:val="22"/>
          <w:szCs w:val="22"/>
        </w:rPr>
        <w:t>.</w:t>
      </w:r>
    </w:p>
    <w:p w14:paraId="33CCA398" w14:textId="602215B0" w:rsidR="008927A9" w:rsidRPr="008927A9" w:rsidRDefault="008927A9" w:rsidP="008927A9">
      <w:pPr>
        <w:rPr>
          <w:sz w:val="22"/>
          <w:szCs w:val="22"/>
        </w:rPr>
      </w:pPr>
      <w:r w:rsidRPr="008927A9">
        <w:rPr>
          <w:sz w:val="22"/>
          <w:szCs w:val="22"/>
        </w:rPr>
        <w:t>The reading</w:t>
      </w:r>
      <w:r w:rsidR="00A402E0">
        <w:rPr>
          <w:rFonts w:hint="eastAsia"/>
          <w:sz w:val="22"/>
          <w:szCs w:val="22"/>
        </w:rPr>
        <w:t xml:space="preserve"> material</w:t>
      </w:r>
      <w:r w:rsidRPr="008927A9">
        <w:rPr>
          <w:sz w:val="22"/>
          <w:szCs w:val="22"/>
        </w:rPr>
        <w:t>s highlight several open design challenges. F</w:t>
      </w:r>
      <w:r w:rsidR="00A402E0">
        <w:rPr>
          <w:rFonts w:hint="eastAsia"/>
          <w:sz w:val="22"/>
          <w:szCs w:val="22"/>
        </w:rPr>
        <w:t>or example</w:t>
      </w:r>
      <w:r w:rsidRPr="008927A9">
        <w:rPr>
          <w:sz w:val="22"/>
          <w:szCs w:val="22"/>
        </w:rPr>
        <w:t>, over-collateralized designs often operate with thin buffers: once the collateral process leaves a “good” regime, there may simply not be enough risk-absorbing capital to keep the peg</w:t>
      </w:r>
      <w:r w:rsidR="00854299" w:rsidRPr="004A1E9C">
        <w:rPr>
          <w:sz w:val="22"/>
          <w:szCs w:val="22"/>
          <w:vertAlign w:val="superscript"/>
        </w:rPr>
        <w:fldChar w:fldCharType="begin"/>
      </w:r>
      <w:r w:rsidR="00854299" w:rsidRPr="004A1E9C">
        <w:rPr>
          <w:sz w:val="22"/>
          <w:szCs w:val="22"/>
          <w:vertAlign w:val="superscript"/>
        </w:rPr>
        <w:instrText xml:space="preserve"> REF _Ref215766038 \r \h </w:instrText>
      </w:r>
      <w:r w:rsidR="004A1E9C">
        <w:rPr>
          <w:sz w:val="22"/>
          <w:szCs w:val="22"/>
          <w:vertAlign w:val="superscript"/>
        </w:rPr>
        <w:instrText xml:space="preserve"> \* MERGEFORMAT </w:instrText>
      </w:r>
      <w:r w:rsidR="00854299" w:rsidRPr="004A1E9C">
        <w:rPr>
          <w:sz w:val="22"/>
          <w:szCs w:val="22"/>
          <w:vertAlign w:val="superscript"/>
        </w:rPr>
      </w:r>
      <w:r w:rsidR="00854299" w:rsidRPr="004A1E9C">
        <w:rPr>
          <w:sz w:val="22"/>
          <w:szCs w:val="22"/>
          <w:vertAlign w:val="superscript"/>
        </w:rPr>
        <w:fldChar w:fldCharType="separate"/>
      </w:r>
      <w:r w:rsidR="00EE2D41">
        <w:rPr>
          <w:sz w:val="22"/>
          <w:szCs w:val="22"/>
          <w:vertAlign w:val="superscript"/>
        </w:rPr>
        <w:t>[1]</w:t>
      </w:r>
      <w:r w:rsidR="00854299" w:rsidRPr="004A1E9C">
        <w:rPr>
          <w:sz w:val="22"/>
          <w:szCs w:val="22"/>
          <w:vertAlign w:val="superscript"/>
        </w:rPr>
        <w:fldChar w:fldCharType="end"/>
      </w:r>
      <w:r w:rsidR="00854299" w:rsidRPr="004A1E9C">
        <w:rPr>
          <w:sz w:val="22"/>
          <w:szCs w:val="22"/>
          <w:vertAlign w:val="superscript"/>
        </w:rPr>
        <w:fldChar w:fldCharType="begin"/>
      </w:r>
      <w:r w:rsidR="00854299" w:rsidRPr="004A1E9C">
        <w:rPr>
          <w:sz w:val="22"/>
          <w:szCs w:val="22"/>
          <w:vertAlign w:val="superscript"/>
        </w:rPr>
        <w:instrText xml:space="preserve"> REF _Ref215766094 \r \h </w:instrText>
      </w:r>
      <w:r w:rsidR="004A1E9C">
        <w:rPr>
          <w:sz w:val="22"/>
          <w:szCs w:val="22"/>
          <w:vertAlign w:val="superscript"/>
        </w:rPr>
        <w:instrText xml:space="preserve"> \* MERGEFORMAT </w:instrText>
      </w:r>
      <w:r w:rsidR="00854299" w:rsidRPr="004A1E9C">
        <w:rPr>
          <w:sz w:val="22"/>
          <w:szCs w:val="22"/>
          <w:vertAlign w:val="superscript"/>
        </w:rPr>
      </w:r>
      <w:r w:rsidR="00854299" w:rsidRPr="004A1E9C">
        <w:rPr>
          <w:sz w:val="22"/>
          <w:szCs w:val="22"/>
          <w:vertAlign w:val="superscript"/>
        </w:rPr>
        <w:fldChar w:fldCharType="separate"/>
      </w:r>
      <w:r w:rsidR="00EE2D41">
        <w:rPr>
          <w:sz w:val="22"/>
          <w:szCs w:val="22"/>
          <w:vertAlign w:val="superscript"/>
        </w:rPr>
        <w:t>[2]</w:t>
      </w:r>
      <w:r w:rsidR="00854299" w:rsidRPr="004A1E9C">
        <w:rPr>
          <w:sz w:val="22"/>
          <w:szCs w:val="22"/>
          <w:vertAlign w:val="superscript"/>
        </w:rPr>
        <w:fldChar w:fldCharType="end"/>
      </w:r>
      <w:r w:rsidRPr="008927A9">
        <w:rPr>
          <w:sz w:val="22"/>
          <w:szCs w:val="22"/>
        </w:rPr>
        <w:t>. Explicit buffers</w:t>
      </w:r>
      <w:r w:rsidR="00A402E0">
        <w:rPr>
          <w:rFonts w:hint="eastAsia"/>
          <w:sz w:val="22"/>
          <w:szCs w:val="22"/>
        </w:rPr>
        <w:t xml:space="preserve">, </w:t>
      </w:r>
      <w:r w:rsidRPr="008927A9">
        <w:rPr>
          <w:sz w:val="22"/>
          <w:szCs w:val="22"/>
        </w:rPr>
        <w:t>such as fee-funded reserves, mezzanine tranches or insured backstops</w:t>
      </w:r>
      <w:r w:rsidR="00A402E0">
        <w:rPr>
          <w:rFonts w:hint="eastAsia"/>
          <w:sz w:val="22"/>
          <w:szCs w:val="22"/>
        </w:rPr>
        <w:t>, can</w:t>
      </w:r>
      <w:r w:rsidRPr="008927A9">
        <w:rPr>
          <w:sz w:val="22"/>
          <w:szCs w:val="22"/>
        </w:rPr>
        <w:t xml:space="preserve"> enlarge the stable domain but may push designs closer to custodial models. </w:t>
      </w:r>
      <w:r w:rsidR="00A402E0">
        <w:rPr>
          <w:rFonts w:hint="eastAsia"/>
          <w:sz w:val="22"/>
          <w:szCs w:val="22"/>
        </w:rPr>
        <w:t>What</w:t>
      </w:r>
      <w:r w:rsidR="00A402E0">
        <w:rPr>
          <w:sz w:val="22"/>
          <w:szCs w:val="22"/>
        </w:rPr>
        <w:t>’</w:t>
      </w:r>
      <w:r w:rsidR="00A402E0">
        <w:rPr>
          <w:rFonts w:hint="eastAsia"/>
          <w:sz w:val="22"/>
          <w:szCs w:val="22"/>
        </w:rPr>
        <w:t>s more</w:t>
      </w:r>
      <w:r w:rsidRPr="008927A9">
        <w:rPr>
          <w:sz w:val="22"/>
          <w:szCs w:val="22"/>
        </w:rPr>
        <w:t>, robustness of oracles and governance must be analyzed jointly with the peg mechanism, rather than treated as exogenous infrastructure</w:t>
      </w:r>
      <w:r w:rsidR="00A402E0">
        <w:rPr>
          <w:rFonts w:hint="eastAsia"/>
          <w:sz w:val="22"/>
          <w:szCs w:val="22"/>
        </w:rPr>
        <w:t>, because</w:t>
      </w:r>
      <w:r w:rsidRPr="008927A9">
        <w:rPr>
          <w:sz w:val="22"/>
          <w:szCs w:val="22"/>
        </w:rPr>
        <w:t xml:space="preserve"> mis-aligned incentives in these layers can undermine any stability guarantees</w:t>
      </w:r>
      <w:r w:rsidR="00854299" w:rsidRPr="004A1E9C">
        <w:rPr>
          <w:sz w:val="22"/>
          <w:szCs w:val="22"/>
          <w:vertAlign w:val="superscript"/>
        </w:rPr>
        <w:fldChar w:fldCharType="begin"/>
      </w:r>
      <w:r w:rsidR="00854299" w:rsidRPr="004A1E9C">
        <w:rPr>
          <w:sz w:val="22"/>
          <w:szCs w:val="22"/>
          <w:vertAlign w:val="superscript"/>
        </w:rPr>
        <w:instrText xml:space="preserve"> REF _Ref215766038 \r \h </w:instrText>
      </w:r>
      <w:r w:rsidR="004A1E9C">
        <w:rPr>
          <w:sz w:val="22"/>
          <w:szCs w:val="22"/>
          <w:vertAlign w:val="superscript"/>
        </w:rPr>
        <w:instrText xml:space="preserve"> \* MERGEFORMAT </w:instrText>
      </w:r>
      <w:r w:rsidR="00854299" w:rsidRPr="004A1E9C">
        <w:rPr>
          <w:sz w:val="22"/>
          <w:szCs w:val="22"/>
          <w:vertAlign w:val="superscript"/>
        </w:rPr>
      </w:r>
      <w:r w:rsidR="00854299" w:rsidRPr="004A1E9C">
        <w:rPr>
          <w:sz w:val="22"/>
          <w:szCs w:val="22"/>
          <w:vertAlign w:val="superscript"/>
        </w:rPr>
        <w:fldChar w:fldCharType="separate"/>
      </w:r>
      <w:r w:rsidR="00EE2D41">
        <w:rPr>
          <w:sz w:val="22"/>
          <w:szCs w:val="22"/>
          <w:vertAlign w:val="superscript"/>
        </w:rPr>
        <w:t>[1]</w:t>
      </w:r>
      <w:r w:rsidR="00854299" w:rsidRPr="004A1E9C">
        <w:rPr>
          <w:sz w:val="22"/>
          <w:szCs w:val="22"/>
          <w:vertAlign w:val="superscript"/>
        </w:rPr>
        <w:fldChar w:fldCharType="end"/>
      </w:r>
      <w:r w:rsidR="00854299" w:rsidRPr="004A1E9C">
        <w:rPr>
          <w:sz w:val="22"/>
          <w:szCs w:val="22"/>
          <w:vertAlign w:val="superscript"/>
        </w:rPr>
        <w:fldChar w:fldCharType="begin"/>
      </w:r>
      <w:r w:rsidR="00854299" w:rsidRPr="004A1E9C">
        <w:rPr>
          <w:sz w:val="22"/>
          <w:szCs w:val="22"/>
          <w:vertAlign w:val="superscript"/>
        </w:rPr>
        <w:instrText xml:space="preserve"> REF _Ref215766096 \r \h </w:instrText>
      </w:r>
      <w:r w:rsidR="004A1E9C">
        <w:rPr>
          <w:sz w:val="22"/>
          <w:szCs w:val="22"/>
          <w:vertAlign w:val="superscript"/>
        </w:rPr>
        <w:instrText xml:space="preserve"> \* MERGEFORMAT </w:instrText>
      </w:r>
      <w:r w:rsidR="00854299" w:rsidRPr="004A1E9C">
        <w:rPr>
          <w:sz w:val="22"/>
          <w:szCs w:val="22"/>
          <w:vertAlign w:val="superscript"/>
        </w:rPr>
      </w:r>
      <w:r w:rsidR="00854299" w:rsidRPr="004A1E9C">
        <w:rPr>
          <w:sz w:val="22"/>
          <w:szCs w:val="22"/>
          <w:vertAlign w:val="superscript"/>
        </w:rPr>
        <w:fldChar w:fldCharType="separate"/>
      </w:r>
      <w:r w:rsidR="00EE2D41">
        <w:rPr>
          <w:sz w:val="22"/>
          <w:szCs w:val="22"/>
          <w:vertAlign w:val="superscript"/>
        </w:rPr>
        <w:t>[3]</w:t>
      </w:r>
      <w:r w:rsidR="00854299" w:rsidRPr="004A1E9C">
        <w:rPr>
          <w:sz w:val="22"/>
          <w:szCs w:val="22"/>
          <w:vertAlign w:val="superscript"/>
        </w:rPr>
        <w:fldChar w:fldCharType="end"/>
      </w:r>
      <w:r w:rsidRPr="008927A9">
        <w:rPr>
          <w:sz w:val="22"/>
          <w:szCs w:val="22"/>
        </w:rPr>
        <w:t xml:space="preserve">. </w:t>
      </w:r>
      <w:r w:rsidR="00A402E0">
        <w:rPr>
          <w:rFonts w:hint="eastAsia"/>
          <w:sz w:val="22"/>
          <w:szCs w:val="22"/>
        </w:rPr>
        <w:t>Additionally</w:t>
      </w:r>
      <w:r w:rsidRPr="008927A9">
        <w:rPr>
          <w:sz w:val="22"/>
          <w:szCs w:val="22"/>
        </w:rPr>
        <w:t>, liquidation design needs to be MEV-aware</w:t>
      </w:r>
      <w:r w:rsidR="00A402E0">
        <w:rPr>
          <w:rFonts w:hint="eastAsia"/>
          <w:sz w:val="22"/>
          <w:szCs w:val="22"/>
        </w:rPr>
        <w:t>.</w:t>
      </w:r>
      <w:r w:rsidRPr="008927A9">
        <w:rPr>
          <w:sz w:val="22"/>
          <w:szCs w:val="22"/>
        </w:rPr>
        <w:t xml:space="preserve"> </w:t>
      </w:r>
      <w:r w:rsidR="00A402E0">
        <w:rPr>
          <w:rFonts w:hint="eastAsia"/>
          <w:sz w:val="22"/>
          <w:szCs w:val="22"/>
        </w:rPr>
        <w:t>W</w:t>
      </w:r>
      <w:r w:rsidRPr="008927A9">
        <w:rPr>
          <w:sz w:val="22"/>
          <w:szCs w:val="22"/>
        </w:rPr>
        <w:t>hen miners or searchers can profitably manipulate auction prices or timing, they may amplify crises instead of providing stabilizing liquidity</w:t>
      </w:r>
      <w:r w:rsidR="00854299" w:rsidRPr="004A1E9C">
        <w:rPr>
          <w:sz w:val="22"/>
          <w:szCs w:val="22"/>
          <w:vertAlign w:val="superscript"/>
        </w:rPr>
        <w:fldChar w:fldCharType="begin"/>
      </w:r>
      <w:r w:rsidR="00854299" w:rsidRPr="004A1E9C">
        <w:rPr>
          <w:sz w:val="22"/>
          <w:szCs w:val="22"/>
          <w:vertAlign w:val="superscript"/>
        </w:rPr>
        <w:instrText xml:space="preserve"> REF _Ref215766096 \r \h </w:instrText>
      </w:r>
      <w:r w:rsidR="004A1E9C">
        <w:rPr>
          <w:sz w:val="22"/>
          <w:szCs w:val="22"/>
          <w:vertAlign w:val="superscript"/>
        </w:rPr>
        <w:instrText xml:space="preserve"> \* MERGEFORMAT </w:instrText>
      </w:r>
      <w:r w:rsidR="00854299" w:rsidRPr="004A1E9C">
        <w:rPr>
          <w:sz w:val="22"/>
          <w:szCs w:val="22"/>
          <w:vertAlign w:val="superscript"/>
        </w:rPr>
      </w:r>
      <w:r w:rsidR="00854299" w:rsidRPr="004A1E9C">
        <w:rPr>
          <w:sz w:val="22"/>
          <w:szCs w:val="22"/>
          <w:vertAlign w:val="superscript"/>
        </w:rPr>
        <w:fldChar w:fldCharType="separate"/>
      </w:r>
      <w:r w:rsidR="00EE2D41">
        <w:rPr>
          <w:sz w:val="22"/>
          <w:szCs w:val="22"/>
          <w:vertAlign w:val="superscript"/>
        </w:rPr>
        <w:t>[3]</w:t>
      </w:r>
      <w:r w:rsidR="00854299" w:rsidRPr="004A1E9C">
        <w:rPr>
          <w:sz w:val="22"/>
          <w:szCs w:val="22"/>
          <w:vertAlign w:val="superscript"/>
        </w:rPr>
        <w:fldChar w:fldCharType="end"/>
      </w:r>
      <w:r w:rsidRPr="008927A9">
        <w:rPr>
          <w:sz w:val="22"/>
          <w:szCs w:val="22"/>
        </w:rPr>
        <w:t>.</w:t>
      </w:r>
    </w:p>
    <w:p w14:paraId="1C5CDAF8" w14:textId="5EBCAB41" w:rsidR="008927A9" w:rsidRPr="008927A9" w:rsidRDefault="00A402E0" w:rsidP="008927A9">
      <w:pPr>
        <w:rPr>
          <w:sz w:val="22"/>
          <w:szCs w:val="22"/>
        </w:rPr>
      </w:pPr>
      <w:r w:rsidRPr="00A402E0">
        <w:rPr>
          <w:rFonts w:hint="eastAsia"/>
          <w:sz w:val="22"/>
          <w:szCs w:val="22"/>
        </w:rPr>
        <w:t>In</w:t>
      </w:r>
      <w:r>
        <w:rPr>
          <w:rFonts w:hint="eastAsia"/>
          <w:sz w:val="22"/>
          <w:szCs w:val="22"/>
        </w:rPr>
        <w:t xml:space="preserve"> conclusion, according to the readings, s</w:t>
      </w:r>
      <w:r w:rsidR="008927A9" w:rsidRPr="008927A9">
        <w:rPr>
          <w:sz w:val="22"/>
          <w:szCs w:val="22"/>
        </w:rPr>
        <w:t xml:space="preserve">tablecoins have become indispensable infrastructure for DeFi, but their stability is far from guaranteed. The theoretical frameworks surveyed here show that price </w:t>
      </w:r>
      <w:r w:rsidR="008927A9" w:rsidRPr="008927A9">
        <w:rPr>
          <w:sz w:val="22"/>
          <w:szCs w:val="22"/>
        </w:rPr>
        <w:lastRenderedPageBreak/>
        <w:t>stability in permissionless systems depends on a delicate alignment of incentives across speculators, users, governors, oracle providers, and miners, as well as on sufficient buffers against downside shocks</w:t>
      </w:r>
      <w:r w:rsidR="00854299" w:rsidRPr="004A1E9C">
        <w:rPr>
          <w:sz w:val="22"/>
          <w:szCs w:val="22"/>
          <w:vertAlign w:val="superscript"/>
        </w:rPr>
        <w:fldChar w:fldCharType="begin"/>
      </w:r>
      <w:r w:rsidR="00854299" w:rsidRPr="004A1E9C">
        <w:rPr>
          <w:sz w:val="22"/>
          <w:szCs w:val="22"/>
          <w:vertAlign w:val="superscript"/>
        </w:rPr>
        <w:instrText xml:space="preserve"> REF _Ref215766038 \r \h </w:instrText>
      </w:r>
      <w:r w:rsidR="004A1E9C">
        <w:rPr>
          <w:sz w:val="22"/>
          <w:szCs w:val="22"/>
          <w:vertAlign w:val="superscript"/>
        </w:rPr>
        <w:instrText xml:space="preserve"> \* MERGEFORMAT </w:instrText>
      </w:r>
      <w:r w:rsidR="00854299" w:rsidRPr="004A1E9C">
        <w:rPr>
          <w:sz w:val="22"/>
          <w:szCs w:val="22"/>
          <w:vertAlign w:val="superscript"/>
        </w:rPr>
      </w:r>
      <w:r w:rsidR="00854299" w:rsidRPr="004A1E9C">
        <w:rPr>
          <w:sz w:val="22"/>
          <w:szCs w:val="22"/>
          <w:vertAlign w:val="superscript"/>
        </w:rPr>
        <w:fldChar w:fldCharType="separate"/>
      </w:r>
      <w:r w:rsidR="00EE2D41">
        <w:rPr>
          <w:sz w:val="22"/>
          <w:szCs w:val="22"/>
          <w:vertAlign w:val="superscript"/>
        </w:rPr>
        <w:t>[1]</w:t>
      </w:r>
      <w:r w:rsidR="00854299" w:rsidRPr="004A1E9C">
        <w:rPr>
          <w:sz w:val="22"/>
          <w:szCs w:val="22"/>
          <w:vertAlign w:val="superscript"/>
        </w:rPr>
        <w:fldChar w:fldCharType="end"/>
      </w:r>
      <w:r w:rsidR="00854299" w:rsidRPr="004A1E9C">
        <w:rPr>
          <w:sz w:val="22"/>
          <w:szCs w:val="22"/>
          <w:vertAlign w:val="superscript"/>
        </w:rPr>
        <w:fldChar w:fldCharType="begin"/>
      </w:r>
      <w:r w:rsidR="00854299" w:rsidRPr="004A1E9C">
        <w:rPr>
          <w:sz w:val="22"/>
          <w:szCs w:val="22"/>
          <w:vertAlign w:val="superscript"/>
        </w:rPr>
        <w:instrText xml:space="preserve"> REF _Ref215766094 \r \h </w:instrText>
      </w:r>
      <w:r w:rsidR="004A1E9C">
        <w:rPr>
          <w:sz w:val="22"/>
          <w:szCs w:val="22"/>
          <w:vertAlign w:val="superscript"/>
        </w:rPr>
        <w:instrText xml:space="preserve"> \* MERGEFORMAT </w:instrText>
      </w:r>
      <w:r w:rsidR="00854299" w:rsidRPr="004A1E9C">
        <w:rPr>
          <w:sz w:val="22"/>
          <w:szCs w:val="22"/>
          <w:vertAlign w:val="superscript"/>
        </w:rPr>
      </w:r>
      <w:r w:rsidR="00854299" w:rsidRPr="004A1E9C">
        <w:rPr>
          <w:sz w:val="22"/>
          <w:szCs w:val="22"/>
          <w:vertAlign w:val="superscript"/>
        </w:rPr>
        <w:fldChar w:fldCharType="separate"/>
      </w:r>
      <w:r w:rsidR="00EE2D41">
        <w:rPr>
          <w:sz w:val="22"/>
          <w:szCs w:val="22"/>
          <w:vertAlign w:val="superscript"/>
        </w:rPr>
        <w:t>[2]</w:t>
      </w:r>
      <w:r w:rsidR="00854299" w:rsidRPr="004A1E9C">
        <w:rPr>
          <w:sz w:val="22"/>
          <w:szCs w:val="22"/>
          <w:vertAlign w:val="superscript"/>
        </w:rPr>
        <w:fldChar w:fldCharType="end"/>
      </w:r>
      <w:r w:rsidR="00854299" w:rsidRPr="004A1E9C">
        <w:rPr>
          <w:sz w:val="22"/>
          <w:szCs w:val="22"/>
          <w:vertAlign w:val="superscript"/>
        </w:rPr>
        <w:fldChar w:fldCharType="begin"/>
      </w:r>
      <w:r w:rsidR="00854299" w:rsidRPr="004A1E9C">
        <w:rPr>
          <w:sz w:val="22"/>
          <w:szCs w:val="22"/>
          <w:vertAlign w:val="superscript"/>
        </w:rPr>
        <w:instrText xml:space="preserve"> REF _Ref215766096 \r \h </w:instrText>
      </w:r>
      <w:r w:rsidR="004A1E9C">
        <w:rPr>
          <w:sz w:val="22"/>
          <w:szCs w:val="22"/>
          <w:vertAlign w:val="superscript"/>
        </w:rPr>
        <w:instrText xml:space="preserve"> \* MERGEFORMAT </w:instrText>
      </w:r>
      <w:r w:rsidR="00854299" w:rsidRPr="004A1E9C">
        <w:rPr>
          <w:sz w:val="22"/>
          <w:szCs w:val="22"/>
          <w:vertAlign w:val="superscript"/>
        </w:rPr>
      </w:r>
      <w:r w:rsidR="00854299" w:rsidRPr="004A1E9C">
        <w:rPr>
          <w:sz w:val="22"/>
          <w:szCs w:val="22"/>
          <w:vertAlign w:val="superscript"/>
        </w:rPr>
        <w:fldChar w:fldCharType="separate"/>
      </w:r>
      <w:r w:rsidR="00EE2D41">
        <w:rPr>
          <w:sz w:val="22"/>
          <w:szCs w:val="22"/>
          <w:vertAlign w:val="superscript"/>
        </w:rPr>
        <w:t>[3]</w:t>
      </w:r>
      <w:r w:rsidR="00854299" w:rsidRPr="004A1E9C">
        <w:rPr>
          <w:sz w:val="22"/>
          <w:szCs w:val="22"/>
          <w:vertAlign w:val="superscript"/>
        </w:rPr>
        <w:fldChar w:fldCharType="end"/>
      </w:r>
      <w:r w:rsidR="008927A9" w:rsidRPr="008927A9">
        <w:rPr>
          <w:sz w:val="22"/>
          <w:szCs w:val="22"/>
        </w:rPr>
        <w:t>. Over-collateralization alone does not prevent deleveraging spirals,</w:t>
      </w:r>
      <w:r>
        <w:rPr>
          <w:rFonts w:hint="eastAsia"/>
          <w:sz w:val="22"/>
          <w:szCs w:val="22"/>
        </w:rPr>
        <w:t xml:space="preserve"> and</w:t>
      </w:r>
      <w:r w:rsidR="008927A9" w:rsidRPr="008927A9">
        <w:rPr>
          <w:sz w:val="22"/>
          <w:szCs w:val="22"/>
        </w:rPr>
        <w:t xml:space="preserve"> under realistic demand frictions, liquidations can drive the stablecoin </w:t>
      </w:r>
      <w:r w:rsidR="008927A9" w:rsidRPr="008927A9">
        <w:rPr>
          <w:i/>
          <w:iCs/>
          <w:sz w:val="22"/>
          <w:szCs w:val="22"/>
        </w:rPr>
        <w:t>above</w:t>
      </w:r>
      <w:r w:rsidR="008927A9" w:rsidRPr="008927A9">
        <w:rPr>
          <w:sz w:val="22"/>
          <w:szCs w:val="22"/>
        </w:rPr>
        <w:t xml:space="preserve"> its peg precisely when the system is most fragile</w:t>
      </w:r>
      <w:r w:rsidR="00854299" w:rsidRPr="004A1E9C">
        <w:rPr>
          <w:sz w:val="22"/>
          <w:szCs w:val="22"/>
          <w:vertAlign w:val="superscript"/>
        </w:rPr>
        <w:fldChar w:fldCharType="begin"/>
      </w:r>
      <w:r w:rsidR="00854299" w:rsidRPr="004A1E9C">
        <w:rPr>
          <w:sz w:val="22"/>
          <w:szCs w:val="22"/>
          <w:vertAlign w:val="superscript"/>
        </w:rPr>
        <w:instrText xml:space="preserve"> REF _Ref215766094 \r \h </w:instrText>
      </w:r>
      <w:r w:rsidR="004A1E9C">
        <w:rPr>
          <w:sz w:val="22"/>
          <w:szCs w:val="22"/>
          <w:vertAlign w:val="superscript"/>
        </w:rPr>
        <w:instrText xml:space="preserve"> \* MERGEFORMAT </w:instrText>
      </w:r>
      <w:r w:rsidR="00854299" w:rsidRPr="004A1E9C">
        <w:rPr>
          <w:sz w:val="22"/>
          <w:szCs w:val="22"/>
          <w:vertAlign w:val="superscript"/>
        </w:rPr>
      </w:r>
      <w:r w:rsidR="00854299" w:rsidRPr="004A1E9C">
        <w:rPr>
          <w:sz w:val="22"/>
          <w:szCs w:val="22"/>
          <w:vertAlign w:val="superscript"/>
        </w:rPr>
        <w:fldChar w:fldCharType="separate"/>
      </w:r>
      <w:r w:rsidR="00EE2D41">
        <w:rPr>
          <w:sz w:val="22"/>
          <w:szCs w:val="22"/>
          <w:vertAlign w:val="superscript"/>
        </w:rPr>
        <w:t>[2]</w:t>
      </w:r>
      <w:r w:rsidR="00854299" w:rsidRPr="004A1E9C">
        <w:rPr>
          <w:sz w:val="22"/>
          <w:szCs w:val="22"/>
          <w:vertAlign w:val="superscript"/>
        </w:rPr>
        <w:fldChar w:fldCharType="end"/>
      </w:r>
      <w:r w:rsidR="008927A9" w:rsidRPr="008927A9">
        <w:rPr>
          <w:sz w:val="22"/>
          <w:szCs w:val="22"/>
        </w:rPr>
        <w:t>. At the same time, governance structures that are too powerful introduce profitable attack vectors that can deter participation altogether</w:t>
      </w:r>
      <w:r w:rsidR="00854299" w:rsidRPr="004A1E9C">
        <w:rPr>
          <w:sz w:val="22"/>
          <w:szCs w:val="22"/>
          <w:vertAlign w:val="superscript"/>
        </w:rPr>
        <w:fldChar w:fldCharType="begin"/>
      </w:r>
      <w:r w:rsidR="00854299" w:rsidRPr="004A1E9C">
        <w:rPr>
          <w:sz w:val="22"/>
          <w:szCs w:val="22"/>
          <w:vertAlign w:val="superscript"/>
        </w:rPr>
        <w:instrText xml:space="preserve"> REF _Ref215766038 \r \h </w:instrText>
      </w:r>
      <w:r w:rsidR="004A1E9C">
        <w:rPr>
          <w:sz w:val="22"/>
          <w:szCs w:val="22"/>
          <w:vertAlign w:val="superscript"/>
        </w:rPr>
        <w:instrText xml:space="preserve"> \* MERGEFORMAT </w:instrText>
      </w:r>
      <w:r w:rsidR="00854299" w:rsidRPr="004A1E9C">
        <w:rPr>
          <w:sz w:val="22"/>
          <w:szCs w:val="22"/>
          <w:vertAlign w:val="superscript"/>
        </w:rPr>
      </w:r>
      <w:r w:rsidR="00854299" w:rsidRPr="004A1E9C">
        <w:rPr>
          <w:sz w:val="22"/>
          <w:szCs w:val="22"/>
          <w:vertAlign w:val="superscript"/>
        </w:rPr>
        <w:fldChar w:fldCharType="separate"/>
      </w:r>
      <w:r w:rsidR="00EE2D41">
        <w:rPr>
          <w:sz w:val="22"/>
          <w:szCs w:val="22"/>
          <w:vertAlign w:val="superscript"/>
        </w:rPr>
        <w:t>[1]</w:t>
      </w:r>
      <w:r w:rsidR="00854299" w:rsidRPr="004A1E9C">
        <w:rPr>
          <w:sz w:val="22"/>
          <w:szCs w:val="22"/>
          <w:vertAlign w:val="superscript"/>
        </w:rPr>
        <w:fldChar w:fldCharType="end"/>
      </w:r>
      <w:r w:rsidR="00854299" w:rsidRPr="004A1E9C">
        <w:rPr>
          <w:sz w:val="22"/>
          <w:szCs w:val="22"/>
          <w:vertAlign w:val="superscript"/>
        </w:rPr>
        <w:fldChar w:fldCharType="begin"/>
      </w:r>
      <w:r w:rsidR="00854299" w:rsidRPr="004A1E9C">
        <w:rPr>
          <w:sz w:val="22"/>
          <w:szCs w:val="22"/>
          <w:vertAlign w:val="superscript"/>
        </w:rPr>
        <w:instrText xml:space="preserve"> REF _Ref215766096 \r \h </w:instrText>
      </w:r>
      <w:r w:rsidR="004A1E9C">
        <w:rPr>
          <w:sz w:val="22"/>
          <w:szCs w:val="22"/>
          <w:vertAlign w:val="superscript"/>
        </w:rPr>
        <w:instrText xml:space="preserve"> \* MERGEFORMAT </w:instrText>
      </w:r>
      <w:r w:rsidR="00854299" w:rsidRPr="004A1E9C">
        <w:rPr>
          <w:sz w:val="22"/>
          <w:szCs w:val="22"/>
          <w:vertAlign w:val="superscript"/>
        </w:rPr>
      </w:r>
      <w:r w:rsidR="00854299" w:rsidRPr="004A1E9C">
        <w:rPr>
          <w:sz w:val="22"/>
          <w:szCs w:val="22"/>
          <w:vertAlign w:val="superscript"/>
        </w:rPr>
        <w:fldChar w:fldCharType="separate"/>
      </w:r>
      <w:r w:rsidR="00EE2D41">
        <w:rPr>
          <w:sz w:val="22"/>
          <w:szCs w:val="22"/>
          <w:vertAlign w:val="superscript"/>
        </w:rPr>
        <w:t>[3]</w:t>
      </w:r>
      <w:r w:rsidR="00854299" w:rsidRPr="004A1E9C">
        <w:rPr>
          <w:sz w:val="22"/>
          <w:szCs w:val="22"/>
          <w:vertAlign w:val="superscript"/>
        </w:rPr>
        <w:fldChar w:fldCharType="end"/>
      </w:r>
      <w:r w:rsidR="008927A9" w:rsidRPr="008927A9">
        <w:rPr>
          <w:sz w:val="22"/>
          <w:szCs w:val="22"/>
        </w:rPr>
        <w:t>.</w:t>
      </w:r>
    </w:p>
    <w:p w14:paraId="31492EBE" w14:textId="77777777" w:rsidR="008927A9" w:rsidRDefault="008927A9" w:rsidP="008927A9">
      <w:pPr>
        <w:rPr>
          <w:sz w:val="22"/>
          <w:szCs w:val="22"/>
        </w:rPr>
      </w:pPr>
      <w:r w:rsidRPr="008927A9">
        <w:rPr>
          <w:sz w:val="22"/>
          <w:szCs w:val="22"/>
        </w:rPr>
        <w:t>Understanding these mechanisms is essential if stablecoins are to continue serving as the backbone of an open financial infrastructure. The models developed in the CS 194 readings provide a foundation for future designs that better balance capital efficiency, decentralization, and robustness, bridging the gap between traditional financial theory and the realities of on-chain markets.</w:t>
      </w:r>
    </w:p>
    <w:p w14:paraId="26B26AF1" w14:textId="77777777" w:rsidR="004A1E9C" w:rsidRPr="008927A9" w:rsidRDefault="004A1E9C" w:rsidP="008927A9">
      <w:pPr>
        <w:rPr>
          <w:sz w:val="22"/>
          <w:szCs w:val="22"/>
        </w:rPr>
      </w:pPr>
    </w:p>
    <w:p w14:paraId="5F92EFE9" w14:textId="77777777" w:rsidR="008927A9" w:rsidRPr="008927A9" w:rsidRDefault="008927A9" w:rsidP="008927A9">
      <w:pPr>
        <w:rPr>
          <w:b/>
          <w:bCs/>
          <w:sz w:val="22"/>
          <w:szCs w:val="22"/>
        </w:rPr>
      </w:pPr>
      <w:r w:rsidRPr="008927A9">
        <w:rPr>
          <w:b/>
          <w:bCs/>
          <w:sz w:val="22"/>
          <w:szCs w:val="22"/>
        </w:rPr>
        <w:t>References</w:t>
      </w:r>
    </w:p>
    <w:p w14:paraId="230AA306" w14:textId="3B04AD85" w:rsidR="008927A9" w:rsidRPr="00854299" w:rsidRDefault="008927A9" w:rsidP="00854299">
      <w:pPr>
        <w:pStyle w:val="a9"/>
        <w:numPr>
          <w:ilvl w:val="0"/>
          <w:numId w:val="6"/>
        </w:numPr>
        <w:rPr>
          <w:sz w:val="22"/>
          <w:szCs w:val="22"/>
        </w:rPr>
      </w:pPr>
      <w:bookmarkStart w:id="0" w:name="_Ref215766038"/>
      <w:r w:rsidRPr="00854299">
        <w:rPr>
          <w:sz w:val="22"/>
          <w:szCs w:val="22"/>
        </w:rPr>
        <w:t xml:space="preserve">Klages-Mundt, D. Harz, L. Gudgeon, J.-Y. Liu, and A. Minca, “Stablecoins 2.0: Economic Foundations and Risk-based Models,” </w:t>
      </w:r>
      <w:r w:rsidRPr="00854299">
        <w:rPr>
          <w:i/>
          <w:iCs/>
          <w:sz w:val="22"/>
          <w:szCs w:val="22"/>
        </w:rPr>
        <w:t>Proc. ACM AFT</w:t>
      </w:r>
      <w:r w:rsidRPr="00854299">
        <w:rPr>
          <w:sz w:val="22"/>
          <w:szCs w:val="22"/>
        </w:rPr>
        <w:t>, 2020.</w:t>
      </w:r>
      <w:bookmarkEnd w:id="0"/>
    </w:p>
    <w:p w14:paraId="6A1CEDCD" w14:textId="7D4D7246" w:rsidR="008927A9" w:rsidRPr="00854299" w:rsidRDefault="008927A9" w:rsidP="00854299">
      <w:pPr>
        <w:pStyle w:val="a9"/>
        <w:numPr>
          <w:ilvl w:val="0"/>
          <w:numId w:val="6"/>
        </w:numPr>
        <w:rPr>
          <w:sz w:val="22"/>
          <w:szCs w:val="22"/>
        </w:rPr>
      </w:pPr>
      <w:bookmarkStart w:id="1" w:name="_Ref215766094"/>
      <w:r w:rsidRPr="00854299">
        <w:rPr>
          <w:sz w:val="22"/>
          <w:szCs w:val="22"/>
        </w:rPr>
        <w:t>Klages-Mundt and A. Minca, “While Stability Lasts: A Stochastic Model of Stablecoins,” 2020.</w:t>
      </w:r>
      <w:bookmarkEnd w:id="1"/>
    </w:p>
    <w:p w14:paraId="72DBBC64" w14:textId="0A578124" w:rsidR="008927A9" w:rsidRPr="00854299" w:rsidRDefault="008927A9" w:rsidP="00854299">
      <w:pPr>
        <w:pStyle w:val="a9"/>
        <w:numPr>
          <w:ilvl w:val="0"/>
          <w:numId w:val="6"/>
        </w:numPr>
        <w:rPr>
          <w:sz w:val="22"/>
          <w:szCs w:val="22"/>
        </w:rPr>
      </w:pPr>
      <w:bookmarkStart w:id="2" w:name="_Ref215766096"/>
      <w:r w:rsidRPr="00854299">
        <w:rPr>
          <w:sz w:val="22"/>
          <w:szCs w:val="22"/>
        </w:rPr>
        <w:t>Klages-Mundt, “(In)Stability for the Blockchain: Deleveraging Spirals and Stablecoin Attacks,” 2019.</w:t>
      </w:r>
      <w:bookmarkEnd w:id="2"/>
    </w:p>
    <w:p w14:paraId="492E6DE8" w14:textId="20658293" w:rsidR="008927A9" w:rsidRPr="00854299" w:rsidRDefault="008927A9" w:rsidP="00854299">
      <w:pPr>
        <w:pStyle w:val="a9"/>
        <w:numPr>
          <w:ilvl w:val="0"/>
          <w:numId w:val="6"/>
        </w:numPr>
        <w:rPr>
          <w:sz w:val="22"/>
          <w:szCs w:val="22"/>
        </w:rPr>
      </w:pPr>
      <w:bookmarkStart w:id="3" w:name="_Ref215766287"/>
      <w:r w:rsidRPr="00854299">
        <w:rPr>
          <w:sz w:val="22"/>
          <w:szCs w:val="22"/>
        </w:rPr>
        <w:t>International Monetary Fund, “How Stablecoins Can Improve Payments and Global Finance,” IMF Blog, 2025.</w:t>
      </w:r>
      <w:bookmarkEnd w:id="3"/>
    </w:p>
    <w:p w14:paraId="191505CC" w14:textId="714EF8C6" w:rsidR="0078120C" w:rsidRPr="00854299" w:rsidRDefault="008927A9" w:rsidP="00854299">
      <w:pPr>
        <w:pStyle w:val="a9"/>
        <w:numPr>
          <w:ilvl w:val="0"/>
          <w:numId w:val="6"/>
        </w:numPr>
        <w:rPr>
          <w:sz w:val="22"/>
          <w:szCs w:val="22"/>
        </w:rPr>
      </w:pPr>
      <w:bookmarkStart w:id="4" w:name="_Ref215766288"/>
      <w:r w:rsidRPr="00854299">
        <w:rPr>
          <w:sz w:val="22"/>
          <w:szCs w:val="22"/>
        </w:rPr>
        <w:t>Morgan Stanley Investment Management, “Stablecoins – Modernizing Financial Infrastructure,” 2025.</w:t>
      </w:r>
      <w:bookmarkEnd w:id="4"/>
    </w:p>
    <w:sectPr w:rsidR="0078120C" w:rsidRPr="00854299" w:rsidSect="00E75C39">
      <w:pgSz w:w="11906" w:h="16838"/>
      <w:pgMar w:top="1440" w:right="1440" w:bottom="1440" w:left="1440" w:header="850" w:footer="994"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4CAE"/>
    <w:multiLevelType w:val="hybridMultilevel"/>
    <w:tmpl w:val="E4D45F32"/>
    <w:lvl w:ilvl="0" w:tplc="A32E93DC">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EAD176F"/>
    <w:multiLevelType w:val="hybridMultilevel"/>
    <w:tmpl w:val="6882BA8E"/>
    <w:lvl w:ilvl="0" w:tplc="995AB5C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8E50B9F"/>
    <w:multiLevelType w:val="multilevel"/>
    <w:tmpl w:val="28D8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411A0"/>
    <w:multiLevelType w:val="multilevel"/>
    <w:tmpl w:val="B246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D5A1F"/>
    <w:multiLevelType w:val="multilevel"/>
    <w:tmpl w:val="4172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F05B1"/>
    <w:multiLevelType w:val="hybridMultilevel"/>
    <w:tmpl w:val="6AE431EE"/>
    <w:lvl w:ilvl="0" w:tplc="6546B668">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625341A"/>
    <w:multiLevelType w:val="hybridMultilevel"/>
    <w:tmpl w:val="CEEE06E4"/>
    <w:lvl w:ilvl="0" w:tplc="1ACC7CDE">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A0F4021"/>
    <w:multiLevelType w:val="multilevel"/>
    <w:tmpl w:val="0BFA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5E6C1C"/>
    <w:multiLevelType w:val="multilevel"/>
    <w:tmpl w:val="5552A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4717888">
    <w:abstractNumId w:val="2"/>
  </w:num>
  <w:num w:numId="2" w16cid:durableId="83262644">
    <w:abstractNumId w:val="3"/>
  </w:num>
  <w:num w:numId="3" w16cid:durableId="1071080280">
    <w:abstractNumId w:val="7"/>
  </w:num>
  <w:num w:numId="4" w16cid:durableId="36900975">
    <w:abstractNumId w:val="8"/>
  </w:num>
  <w:num w:numId="5" w16cid:durableId="1734429506">
    <w:abstractNumId w:val="4"/>
  </w:num>
  <w:num w:numId="6" w16cid:durableId="1282305218">
    <w:abstractNumId w:val="1"/>
  </w:num>
  <w:num w:numId="7" w16cid:durableId="350186393">
    <w:abstractNumId w:val="6"/>
  </w:num>
  <w:num w:numId="8" w16cid:durableId="1451364290">
    <w:abstractNumId w:val="5"/>
  </w:num>
  <w:num w:numId="9" w16cid:durableId="2020960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711"/>
    <w:rsid w:val="00146E1B"/>
    <w:rsid w:val="00394496"/>
    <w:rsid w:val="0048485F"/>
    <w:rsid w:val="00485A0F"/>
    <w:rsid w:val="004A1E9C"/>
    <w:rsid w:val="005129E7"/>
    <w:rsid w:val="0078120C"/>
    <w:rsid w:val="00854299"/>
    <w:rsid w:val="008927A9"/>
    <w:rsid w:val="008B5711"/>
    <w:rsid w:val="009164B2"/>
    <w:rsid w:val="009B32AE"/>
    <w:rsid w:val="00A3204A"/>
    <w:rsid w:val="00A402E0"/>
    <w:rsid w:val="00B661A4"/>
    <w:rsid w:val="00C664EF"/>
    <w:rsid w:val="00CC3034"/>
    <w:rsid w:val="00E55E90"/>
    <w:rsid w:val="00E632D7"/>
    <w:rsid w:val="00E75C39"/>
    <w:rsid w:val="00EE2D41"/>
    <w:rsid w:val="00F302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F1B4C3"/>
  <w15:chartTrackingRefBased/>
  <w15:docId w15:val="{158D4ED1-B413-4E54-9644-7606B902B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B571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B571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B571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B5711"/>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8B5711"/>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8B5711"/>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8B5711"/>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8B5711"/>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8B5711"/>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B571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B571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B571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B5711"/>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8B5711"/>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8B5711"/>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8B5711"/>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8B5711"/>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8B5711"/>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8B571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B57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571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B57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5711"/>
    <w:pPr>
      <w:spacing w:before="160" w:after="160"/>
      <w:jc w:val="center"/>
    </w:pPr>
    <w:rPr>
      <w:i/>
      <w:iCs/>
      <w:color w:val="404040" w:themeColor="text1" w:themeTint="BF"/>
    </w:rPr>
  </w:style>
  <w:style w:type="character" w:customStyle="1" w:styleId="a8">
    <w:name w:val="引用 字符"/>
    <w:basedOn w:val="a0"/>
    <w:link w:val="a7"/>
    <w:uiPriority w:val="29"/>
    <w:rsid w:val="008B5711"/>
    <w:rPr>
      <w:i/>
      <w:iCs/>
      <w:color w:val="404040" w:themeColor="text1" w:themeTint="BF"/>
    </w:rPr>
  </w:style>
  <w:style w:type="paragraph" w:styleId="a9">
    <w:name w:val="List Paragraph"/>
    <w:basedOn w:val="a"/>
    <w:uiPriority w:val="34"/>
    <w:qFormat/>
    <w:rsid w:val="008B5711"/>
    <w:pPr>
      <w:ind w:left="720"/>
      <w:contextualSpacing/>
    </w:pPr>
  </w:style>
  <w:style w:type="character" w:styleId="aa">
    <w:name w:val="Intense Emphasis"/>
    <w:basedOn w:val="a0"/>
    <w:uiPriority w:val="21"/>
    <w:qFormat/>
    <w:rsid w:val="008B5711"/>
    <w:rPr>
      <w:i/>
      <w:iCs/>
      <w:color w:val="0F4761" w:themeColor="accent1" w:themeShade="BF"/>
    </w:rPr>
  </w:style>
  <w:style w:type="paragraph" w:styleId="ab">
    <w:name w:val="Intense Quote"/>
    <w:basedOn w:val="a"/>
    <w:next w:val="a"/>
    <w:link w:val="ac"/>
    <w:uiPriority w:val="30"/>
    <w:qFormat/>
    <w:rsid w:val="008B5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B5711"/>
    <w:rPr>
      <w:i/>
      <w:iCs/>
      <w:color w:val="0F4761" w:themeColor="accent1" w:themeShade="BF"/>
    </w:rPr>
  </w:style>
  <w:style w:type="character" w:styleId="ad">
    <w:name w:val="Intense Reference"/>
    <w:basedOn w:val="a0"/>
    <w:uiPriority w:val="32"/>
    <w:qFormat/>
    <w:rsid w:val="008B5711"/>
    <w:rPr>
      <w:b/>
      <w:bCs/>
      <w:smallCaps/>
      <w:color w:val="0F4761" w:themeColor="accent1" w:themeShade="BF"/>
      <w:spacing w:val="5"/>
    </w:rPr>
  </w:style>
  <w:style w:type="character" w:styleId="ae">
    <w:name w:val="Hyperlink"/>
    <w:basedOn w:val="a0"/>
    <w:uiPriority w:val="99"/>
    <w:unhideWhenUsed/>
    <w:rsid w:val="00E75C39"/>
    <w:rPr>
      <w:color w:val="467886" w:themeColor="hyperlink"/>
      <w:u w:val="single"/>
    </w:rPr>
  </w:style>
  <w:style w:type="character" w:styleId="af">
    <w:name w:val="Unresolved Mention"/>
    <w:basedOn w:val="a0"/>
    <w:uiPriority w:val="99"/>
    <w:semiHidden/>
    <w:unhideWhenUsed/>
    <w:rsid w:val="00E75C39"/>
    <w:rPr>
      <w:color w:val="605E5C"/>
      <w:shd w:val="clear" w:color="auto" w:fill="E1DFDD"/>
    </w:rPr>
  </w:style>
  <w:style w:type="character" w:styleId="af0">
    <w:name w:val="Placeholder Text"/>
    <w:basedOn w:val="a0"/>
    <w:uiPriority w:val="99"/>
    <w:semiHidden/>
    <w:rsid w:val="005129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711CC-E11D-4F7D-8F08-FFE52D39D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Pages>
  <Words>1628</Words>
  <Characters>9953</Characters>
  <Application>Microsoft Office Word</Application>
  <DocSecurity>0</DocSecurity>
  <Lines>127</Lines>
  <Paragraphs>29</Paragraphs>
  <ScaleCrop>false</ScaleCrop>
  <Company/>
  <LinksUpToDate>false</LinksUpToDate>
  <CharactersWithSpaces>11552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Menger Gilmour</dc:creator>
  <cp:keywords/>
  <dc:description/>
  <cp:lastModifiedBy>Menger Gilmour</cp:lastModifiedBy>
  <cp:revision>4</cp:revision>
  <cp:lastPrinted>2025-12-05T02:52:00Z</cp:lastPrinted>
  <dcterms:created xsi:type="dcterms:W3CDTF">2025-12-04T23:55:00Z</dcterms:created>
  <dcterms:modified xsi:type="dcterms:W3CDTF">2025-12-05T02:52:00Z</dcterms:modified>
</cp:coreProperties>
</file>