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a317b7cd0854d3f" /><Relationship Type="http://schemas.openxmlformats.org/package/2006/relationships/metadata/core-properties" Target="/docProps/core.xml" Id="Reda26e3adc7c428e" /><Relationship Type="http://schemas.openxmlformats.org/officeDocument/2006/relationships/extended-properties" Target="/docProps/app.xml" Id="R2714e8f4ed134944" /><Relationship Type="http://schemas.openxmlformats.org/officeDocument/2006/relationships/custom-properties" Target="/docProps/custom.xml" Id="R1042f99d6fcb4c0e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hd w:val="clear" w:fill="17365D"/>
        <w:spacing w:before="240" w:after="360"/>
        <w:jc w:val="center"/>
      </w:pPr>
      <w:r>
        <w:rPr>
          <w:b/>
          <w:color w:val="FFFFFF"/>
          <w:sz w:val="21"/>
        </w:rPr>
        <w:t xml:space="preserve">2026 年专硕机器学习课程项目报告</w:t>
      </w:r>
    </w:p>
    <w:p w14:paraId="00100002" w14:textId="00100003">
      <w:pPr>
        <w:spacing w:after="240"/>
        <w:jc w:val="center"/>
      </w:pPr>
      <w:r>
        <w:rPr>
          <w:b/>
          <w:color w:val="17365D"/>
          <w:sz w:val="50"/>
        </w:rPr>
        <w:t xml:space="preserve">基于深度学习的家庭电力消耗多变量时间序列预测</w:t>
      </w:r>
    </w:p>
    <w:p w14:paraId="00100004" w14:textId="00100005">
      <w:pPr>
        <w:spacing w:after="360"/>
        <w:jc w:val="center"/>
      </w:pPr>
      <w:r>
        <w:rPr>
          <w:b/>
          <w:color w:val="1F4E79"/>
          <w:sz w:val="29"/>
        </w:rPr>
        <w:t xml:space="preserve">LSTM、Transformer、HybridTCNTransformer 与验证集校准 DMSAFormer 的比较研究</w:t>
      </w:r>
    </w:p>
    <w:p w14:paraId="00100006" w14:textId="00100007">
      <w:pPr>
        <w:spacing w:after="120"/>
        <w:jc w:val="center"/>
      </w:pPr>
      <w:r>
        <w:rPr>
          <w:b/>
          <w:color w:val="17365D"/>
          <w:sz w:val="24"/>
        </w:rPr>
        <w:t xml:space="preserve">关键结果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2400"/>
        <w:gridCol w:w="2600"/>
        <w:gridCol w:w="2600"/>
        <w:gridCol w:w="3800"/>
      </w:tblGrid>
      <w:tr>
        <w:trPr>
          <w:tblHeader/>
        </w:trPr>
        <w:tc>
          <w:tcPr>
            <w:shd w:val="clear" w:fill="1F4E79"/>
            <w:vAlign w:val="center"/>
          </w:tcPr>
          <w:p w14:paraId="00100008" w14:textId="00100020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任务</w:t>
            </w:r>
          </w:p>
        </w:tc>
        <w:tc>
          <w:tcPr>
            <w:shd w:val="clear" w:fill="1F4E79"/>
            <w:vAlign w:val="center"/>
          </w:tcPr>
          <w:p w14:paraId="0010000A" w14:textId="00100021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DMSAFormer MSE</w:t>
            </w:r>
          </w:p>
        </w:tc>
        <w:tc>
          <w:tcPr>
            <w:shd w:val="clear" w:fill="1F4E79"/>
            <w:vAlign w:val="center"/>
          </w:tcPr>
          <w:p w14:paraId="0010000C" w14:textId="00100022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DMSAFormer MAE</w:t>
            </w:r>
          </w:p>
        </w:tc>
        <w:tc>
          <w:tcPr>
            <w:shd w:val="clear" w:fill="1F4E79"/>
            <w:vAlign w:val="center"/>
          </w:tcPr>
          <w:p w14:paraId="0010000E" w14:textId="00100023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相对最强 baseline</w:t>
            </w:r>
          </w:p>
        </w:tc>
      </w:tr>
      <w:tr>
        <w:tc>
          <w:p w14:paraId="00100010" w14:textId="00100024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未来 90 天</w:t>
            </w:r>
          </w:p>
        </w:tc>
        <w:tc>
          <w:p w14:paraId="00100012" w14:textId="00100026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8"/>
              </w:rPr>
              <w:t xml:space="preserve">153907.02</w:t>
            </w:r>
          </w:p>
        </w:tc>
        <w:tc>
          <w:p w14:paraId="00100014" w14:textId="00100028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8"/>
              </w:rPr>
              <w:t xml:space="preserve">301.13</w:t>
            </w:r>
          </w:p>
        </w:tc>
        <w:tc>
          <w:p w14:paraId="00100016" w14:textId="00100029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MSE 降低 1.11%</w:t>
            </w:r>
          </w:p>
        </w:tc>
      </w:tr>
      <w:tr>
        <w:tc>
          <w:tcPr>
            <w:shd w:val="clear" w:fill="F4F8FB"/>
          </w:tcPr>
          <w:p w14:paraId="00100018" w14:textId="0010002A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未来 365 天</w:t>
            </w:r>
          </w:p>
        </w:tc>
        <w:tc>
          <w:tcPr>
            <w:shd w:val="clear" w:fill="F4F8FB"/>
          </w:tcPr>
          <w:p w14:paraId="0010001A" w14:textId="0010002C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8"/>
              </w:rPr>
              <w:t xml:space="preserve">272821.28</w:t>
            </w:r>
          </w:p>
        </w:tc>
        <w:tc>
          <w:tcPr>
            <w:shd w:val="clear" w:fill="F4F8FB"/>
          </w:tcPr>
          <w:p w14:paraId="0010001C" w14:textId="0010002E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8"/>
              </w:rPr>
              <w:t xml:space="preserve">409.59</w:t>
            </w:r>
          </w:p>
        </w:tc>
        <w:tc>
          <w:tcPr>
            <w:shd w:val="clear" w:fill="F4F8FB"/>
          </w:tcPr>
          <w:p w14:paraId="0010001E" w14:textId="0010002F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MSE 降低 13.76%</w:t>
            </w:r>
          </w:p>
        </w:tc>
      </w:tr>
    </w:tbl>
    <w:p w14:paraId="00100030" w14:textId="00100031">
      <w:pPr>
        <w:spacing w:before="160" w:after="240" w:line="300" w:lineRule="auto"/>
        <w:ind w:firstLine="420"/>
        <w:jc w:val="both"/>
      </w:pPr>
      <w:r>
        <w:rPr>
          <w:rFonts w:ascii="Microsoft YaHei" w:hAnsi="Microsoft YaHei" w:eastAsia="Microsoft YaHei"/>
          <w:color w:val="444444"/>
          <w:sz w:val="20"/>
        </w:rPr>
        <w:t xml:space="preserve">实验协议：四种模型均按 90 天输入分别预测未来 90 天与 365 天，每个设置运行 5 个随机种子，共 40 次训练与评估；DMSAFormer 的专家选择与 affine 校准只使用训练集划分出的验证集，测试集只用于最终评估。</w:t>
      </w:r>
    </w:p>
    <w:p w14:paraId="00100032" w14:textId="00100033">
      <w:pPr>
        <w:spacing w:after="120"/>
        <w:jc w:val="center"/>
      </w:pPr>
      <w:r>
        <w:rPr>
          <w:b/>
          <w:color w:val="17365D"/>
          <w:sz w:val="24"/>
        </w:rPr>
        <w:t xml:space="preserve">项目信息</w:t>
      </w:r>
    </w:p>
    <w:p w14:paraId="00100034" w14:textId="00100035">
      <w:pPr>
        <w:spacing w:after="60"/>
        <w:jc w:val="center"/>
      </w:pPr>
      <w:r>
        <w:rPr>
          <w:color w:val="666666"/>
          <w:sz w:val="21"/>
        </w:rPr>
        <w:t xml:space="preserve">数据集：UCI Individual household electric power consumption；任务：多变量日级时间序列预测。</w:t>
      </w:r>
    </w:p>
    <w:p w14:paraId="00100036" w14:textId="00100037">
      <w:pPr>
        <w:spacing w:after="60"/>
        <w:jc w:val="center"/>
      </w:pPr>
      <w:r>
        <w:rPr>
          <w:color w:val="666666"/>
          <w:sz w:val="21"/>
        </w:rPr>
        <w:t xml:space="preserve">GitHub 链接：https://github.com/Mengtaigu111/jiqixuexi</w:t>
      </w:r>
    </w:p>
    <w:p w14:paraId="00100038" w14:textId="00100039">
      <w:pPr>
        <w:spacing w:after="60"/>
        <w:jc w:val="center"/>
      </w:pPr>
      <w:r>
        <w:rPr>
          <w:color w:val="666666"/>
          <w:sz w:val="21"/>
        </w:rPr>
        <w:t xml:space="preserve">作者贡献与研究领域：本文由本人独立完成，主要贡献包括数据预处理、模型实现、实验设计、结果分析与报告撰写；研究领域为机器学习与时间序列预测。</w:t>
      </w:r>
    </w:p>
    <w:p w14:paraId="0010003A" w14:textId="0010003B">
      <w:pPr>
        <w:spacing w:after="120"/>
        <w:jc w:val="center"/>
      </w:pPr>
      <w:r>
        <w:rPr>
          <w:color w:val="666666"/>
          <w:sz w:val="21"/>
        </w:rPr>
        <w:t xml:space="preserve">工具使用说明：报告撰写和格式整理使用 AI 工具辅助；实验结果来自本项目真实代码运行与审计。</w:t>
      </w:r>
    </w:p>
    <w:p w14:paraId="0010003C" w14:textId="0010003D">
      <w:pPr>
        <w:spacing w:after="320"/>
        <w:jc w:val="center"/>
      </w:pPr>
      <w:r>
        <w:rPr>
          <w:color w:val="666666"/>
          <w:sz w:val="20"/>
        </w:rPr>
        <w:t xml:space="preserve">生成日期：2026-06-29</w:t>
      </w:r>
    </w:p>
    <w:p w14:paraId="0010003E" w14:textId="0010003F">
      <w:pPr>
        <w:spacing w:after="160"/>
        <w:jc w:val="center"/>
      </w:pPr>
      <w:r>
        <w:rPr>
          <w:b/>
          <w:color w:val="17365D"/>
          <w:sz w:val="28"/>
        </w:rPr>
        <w:t xml:space="preserve">摘要</w:t>
      </w:r>
    </w:p>
    <w:p w14:paraId="00100040" w14:textId="00100041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本报告围绕 UCI Individual household electric power consumption 数据集，研究基于过去 90 天多变量日级序列预测未来 90 天和 365 天总有功功率的问题。项目完成了数据清洗、日级聚合、时间特征构造、窗口化建模、五轮随机种子训练与评估，并比较 LSTM、Transformer、作为中间改进/消融对照的 HybridTCNTransformer，以及最终提出的 DMSAFormer。DMSAFormer 是面向家庭电力长短期预测任务的分解式多尺度专家融合模型，在 90 天和 365 天两个任务上均取得最低 MSE 与 MAE。</w:t>
      </w:r>
    </w:p>
    <w:p w14:paraId="00100042" w14:textId="00100043">
      <w:pPr>
        <w:spacing w:after="400"/>
        <w:jc w:val="center"/>
      </w:pPr>
      <w:r>
        <w:rPr>
          <w:i/>
          <w:sz w:val="21"/>
        </w:rPr>
        <w:t xml:space="preserve">关键词：家庭电力消耗；多变量时间序列；LSTM；Transformer；DMSAFormer；验证集校准</w:t>
      </w:r>
    </w:p>
    <w:p w14:paraId="00100044" w14:textId="00100045">
      <w:r>
        <w:br w:type="page"/>
      </w:r>
    </w:p>
    <w:p w14:paraId="00100046" w14:textId="00100047">
      <w:pPr>
        <w:pStyle w:val="Heading1"/>
        <w:keepNext/>
        <w:shd w:val="clear" w:fill="EAF3F8"/>
        <w:spacing w:before="320" w:after="180"/>
      </w:pPr>
      <w:r>
        <w:rPr>
          <w:b/>
          <w:color w:val="17365D"/>
          <w:sz w:val="40"/>
        </w:rPr>
        <w:t xml:space="preserve">目录</w:t>
      </w:r>
    </w:p>
    <w:p w14:paraId="00100048" w14:textId="00100049">
      <w:pPr>
        <w:spacing w:after="40" w:line="276" w:lineRule="auto"/>
        <w:ind w:left="0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1. 问题介绍</w:t>
      </w:r>
    </w:p>
    <w:p w14:paraId="0010004A" w14:textId="0010004B">
      <w:pPr>
        <w:spacing w:after="40" w:line="276" w:lineRule="auto"/>
        <w:ind w:left="0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2. 数据处理与实验流程</w:t>
      </w:r>
    </w:p>
    <w:p w14:paraId="0010004C" w14:textId="0010004D">
      <w:pPr>
        <w:spacing w:after="40" w:line="276" w:lineRule="auto"/>
        <w:ind w:left="0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3. 模型方法</w:t>
      </w:r>
    </w:p>
    <w:p w14:paraId="0010004E" w14:textId="0010004F">
      <w:pPr>
        <w:spacing w:after="40" w:line="276" w:lineRule="auto"/>
        <w:ind w:left="420"/>
      </w:pPr>
      <w:r>
        <w:rPr>
          <w:rFonts w:ascii="Microsoft YaHei" w:hAnsi="Microsoft YaHei" w:eastAsia="Microsoft YaHei"/>
          <w:b w:val="false"/>
          <w:color w:val="666666"/>
          <w:sz w:val="20"/>
        </w:rPr>
        <w:t xml:space="preserve">3.1 LSTM 基线模型</w:t>
      </w:r>
    </w:p>
    <w:p w14:paraId="00100050" w14:textId="00100051">
      <w:pPr>
        <w:spacing w:after="40" w:line="276" w:lineRule="auto"/>
        <w:ind w:left="420"/>
      </w:pPr>
      <w:r>
        <w:rPr>
          <w:rFonts w:ascii="Microsoft YaHei" w:hAnsi="Microsoft YaHei" w:eastAsia="Microsoft YaHei"/>
          <w:b w:val="false"/>
          <w:color w:val="666666"/>
          <w:sz w:val="20"/>
        </w:rPr>
        <w:t xml:space="preserve">3.2 Transformer 基线模型</w:t>
      </w:r>
    </w:p>
    <w:p w14:paraId="00100052" w14:textId="00100053">
      <w:pPr>
        <w:spacing w:after="40" w:line="276" w:lineRule="auto"/>
        <w:ind w:left="420"/>
      </w:pPr>
      <w:r>
        <w:rPr>
          <w:rFonts w:ascii="Microsoft YaHei" w:hAnsi="Microsoft YaHei" w:eastAsia="Microsoft YaHei"/>
          <w:b w:val="false"/>
          <w:color w:val="666666"/>
          <w:sz w:val="20"/>
        </w:rPr>
        <w:t xml:space="preserve">3.3 HybridTCNTransformer 改进基线</w:t>
      </w:r>
    </w:p>
    <w:p w14:paraId="00100054" w14:textId="00100055">
      <w:pPr>
        <w:spacing w:after="40" w:line="276" w:lineRule="auto"/>
        <w:ind w:left="420"/>
      </w:pPr>
      <w:r>
        <w:rPr>
          <w:rFonts w:ascii="Microsoft YaHei" w:hAnsi="Microsoft YaHei" w:eastAsia="Microsoft YaHei"/>
          <w:b w:val="false"/>
          <w:color w:val="666666"/>
          <w:sz w:val="20"/>
        </w:rPr>
        <w:t xml:space="preserve">3.4 改进模型 DMSAFormer</w:t>
      </w:r>
    </w:p>
    <w:p w14:paraId="00100056" w14:textId="00100057">
      <w:pPr>
        <w:spacing w:after="40" w:line="276" w:lineRule="auto"/>
        <w:ind w:left="420"/>
      </w:pPr>
      <w:r>
        <w:rPr>
          <w:rFonts w:ascii="Microsoft YaHei" w:hAnsi="Microsoft YaHei" w:eastAsia="Microsoft YaHei"/>
          <w:b w:val="false"/>
          <w:color w:val="666666"/>
          <w:sz w:val="20"/>
        </w:rPr>
        <w:t xml:space="preserve">3.5 组件作用与消融说明</w:t>
      </w:r>
    </w:p>
    <w:p w14:paraId="00100058" w14:textId="00100059">
      <w:pPr>
        <w:spacing w:after="40" w:line="276" w:lineRule="auto"/>
        <w:ind w:left="420"/>
      </w:pPr>
      <w:r>
        <w:rPr>
          <w:rFonts w:ascii="Microsoft YaHei" w:hAnsi="Microsoft YaHei" w:eastAsia="Microsoft YaHei"/>
          <w:b w:val="false"/>
          <w:color w:val="666666"/>
          <w:sz w:val="20"/>
        </w:rPr>
        <w:t xml:space="preserve">3.6 改进过程与失败诊断</w:t>
      </w:r>
    </w:p>
    <w:p w14:paraId="0010005A" w14:textId="0010005B">
      <w:pPr>
        <w:spacing w:after="40" w:line="276" w:lineRule="auto"/>
        <w:ind w:left="0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4. 结果与分析</w:t>
      </w:r>
    </w:p>
    <w:p w14:paraId="0010005C" w14:textId="0010005D">
      <w:pPr>
        <w:spacing w:after="40" w:line="276" w:lineRule="auto"/>
        <w:ind w:left="420"/>
      </w:pPr>
      <w:r>
        <w:rPr>
          <w:rFonts w:ascii="Microsoft YaHei" w:hAnsi="Microsoft YaHei" w:eastAsia="Microsoft YaHei"/>
          <w:b w:val="false"/>
          <w:color w:val="666666"/>
          <w:sz w:val="20"/>
        </w:rPr>
        <w:t xml:space="preserve">4.1 总体指标对比</w:t>
      </w:r>
    </w:p>
    <w:p w14:paraId="0010005E" w14:textId="0010005F">
      <w:pPr>
        <w:spacing w:after="40" w:line="276" w:lineRule="auto"/>
        <w:ind w:left="420"/>
      </w:pPr>
      <w:r>
        <w:rPr>
          <w:rFonts w:ascii="Microsoft YaHei" w:hAnsi="Microsoft YaHei" w:eastAsia="Microsoft YaHei"/>
          <w:b w:val="false"/>
          <w:color w:val="666666"/>
          <w:sz w:val="20"/>
        </w:rPr>
        <w:t xml:space="preserve">4.2 相对最强 baseline 的提升幅度</w:t>
      </w:r>
    </w:p>
    <w:p w14:paraId="00100060" w14:textId="00100061">
      <w:pPr>
        <w:spacing w:after="40" w:line="276" w:lineRule="auto"/>
        <w:ind w:left="420"/>
      </w:pPr>
      <w:r>
        <w:rPr>
          <w:rFonts w:ascii="Microsoft YaHei" w:hAnsi="Microsoft YaHei" w:eastAsia="Microsoft YaHei"/>
          <w:b w:val="false"/>
          <w:color w:val="666666"/>
          <w:sz w:val="20"/>
        </w:rPr>
        <w:t xml:space="preserve">4.3 五轮实验稳定性</w:t>
      </w:r>
    </w:p>
    <w:p w14:paraId="00100062" w14:textId="00100063">
      <w:pPr>
        <w:spacing w:after="40" w:line="276" w:lineRule="auto"/>
        <w:ind w:left="420"/>
      </w:pPr>
      <w:r>
        <w:rPr>
          <w:rFonts w:ascii="Microsoft YaHei" w:hAnsi="Microsoft YaHei" w:eastAsia="Microsoft YaHei"/>
          <w:b w:val="false"/>
          <w:color w:val="666666"/>
          <w:sz w:val="20"/>
        </w:rPr>
        <w:t xml:space="preserve">4.4 误差分布与异常点影响</w:t>
      </w:r>
    </w:p>
    <w:p w14:paraId="00100064" w14:textId="00100065">
      <w:pPr>
        <w:spacing w:after="40" w:line="276" w:lineRule="auto"/>
        <w:ind w:left="420"/>
      </w:pPr>
      <w:r>
        <w:rPr>
          <w:rFonts w:ascii="Microsoft YaHei" w:hAnsi="Microsoft YaHei" w:eastAsia="Microsoft YaHei"/>
          <w:b w:val="false"/>
          <w:color w:val="666666"/>
          <w:sz w:val="20"/>
        </w:rPr>
        <w:t xml:space="preserve">4.5 随预测步长变化的误差</w:t>
      </w:r>
    </w:p>
    <w:p w14:paraId="00100066" w14:textId="00100067">
      <w:pPr>
        <w:spacing w:after="40" w:line="276" w:lineRule="auto"/>
        <w:ind w:left="420"/>
      </w:pPr>
      <w:r>
        <w:rPr>
          <w:rFonts w:ascii="Microsoft YaHei" w:hAnsi="Microsoft YaHei" w:eastAsia="Microsoft YaHei"/>
          <w:b w:val="false"/>
          <w:color w:val="666666"/>
          <w:sz w:val="20"/>
        </w:rPr>
        <w:t xml:space="preserve">4.6 预测曲线观察</w:t>
      </w:r>
    </w:p>
    <w:p w14:paraId="00100068" w14:textId="00100069">
      <w:pPr>
        <w:spacing w:after="40" w:line="276" w:lineRule="auto"/>
        <w:ind w:left="420"/>
      </w:pPr>
      <w:r>
        <w:rPr>
          <w:rFonts w:ascii="Microsoft YaHei" w:hAnsi="Microsoft YaHei" w:eastAsia="Microsoft YaHei"/>
          <w:b w:val="false"/>
          <w:color w:val="666666"/>
          <w:sz w:val="20"/>
        </w:rPr>
        <w:t xml:space="preserve">4.7 校准专家机制分析</w:t>
      </w:r>
    </w:p>
    <w:p w14:paraId="0010006A" w14:textId="0010006B">
      <w:pPr>
        <w:spacing w:after="40" w:line="276" w:lineRule="auto"/>
        <w:ind w:left="0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5. 讨论</w:t>
      </w:r>
    </w:p>
    <w:p w14:paraId="0010006C" w14:textId="0010006D">
      <w:pPr>
        <w:spacing w:after="40" w:line="276" w:lineRule="auto"/>
        <w:ind w:left="0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6. 复现与提交说明</w:t>
      </w:r>
    </w:p>
    <w:p w14:paraId="0010006E" w14:textId="0010006F">
      <w:pPr>
        <w:spacing w:after="40" w:line="276" w:lineRule="auto"/>
        <w:ind w:left="0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参考文献</w:t>
      </w:r>
    </w:p>
    <w:p w14:paraId="00100070" w14:textId="00100071">
      <w:pPr>
        <w:spacing w:after="40" w:line="276" w:lineRule="auto"/>
        <w:ind w:left="0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作者贡献与工具使用说明</w:t>
      </w:r>
    </w:p>
    <w:p w14:paraId="00100072" w14:textId="00100073">
      <w:r>
        <w:br w:type="page"/>
      </w:r>
    </w:p>
    <w:p w14:paraId="00100074" w14:textId="00100075">
      <w:pPr>
        <w:pStyle w:val="Heading1"/>
        <w:keepNext/>
        <w:shd w:val="clear" w:fill="EAF3F8"/>
        <w:spacing w:before="320" w:after="180"/>
      </w:pPr>
      <w:r>
        <w:rPr>
          <w:b/>
          <w:color w:val="17365D"/>
          <w:sz w:val="40"/>
        </w:rPr>
        <w:t xml:space="preserve">1. 问题介绍</w:t>
      </w:r>
    </w:p>
    <w:p w14:paraId="00100076" w14:textId="00100077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随着智能家居、物联网和智能电网的发展，家庭电力消耗预测已经成为节能减排、用电成本控制、负荷调度和分布式能源管理中的重要问题。家庭用电受到季节、天气、节假日、家庭成员行为、设备类型和异常事件等因素影响，既有局部波动，也有长周期趋势，因此适合建模为多变量时间序列预测问题。</w:t>
      </w:r>
    </w:p>
    <w:p w14:paraId="00100078" w14:textId="00100079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课程要求基于过去 90 天的数据曲线预测未来总有功功率，包含两个独立任务：未来 90 天短期预测和未来 365 天长期预测。两个任务必须分别训练，长期预测模型参数不能复用于短期预测。评价指标为均方误差 MSE 与平均绝对误差 MAE，至少进行五轮实验并报告均值和标准差。</w:t>
      </w:r>
    </w:p>
    <w:p w14:paraId="0010007A" w14:textId="0010007B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本项目使用 UCI 公开的 Individual household electric power consumption 数据集。原始数据采集自法国一户家庭，时间跨度为 2006 年 12 月至 2010 年 11 月，分钟级记录包含全局有功功率、无功功率、电压、电流强度和三个分表能耗。当前实验以电力与时间特征为主要有效输入；若提供 weather.csv，脚本可兼容降水、雾日等天气变量。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2000"/>
        <w:gridCol w:w="4200"/>
        <w:gridCol w:w="5200"/>
      </w:tblGrid>
      <w:tr>
        <w:trPr>
          <w:tblHeader/>
        </w:trPr>
        <w:tc>
          <w:tcPr>
            <w:shd w:val="clear" w:fill="1F4E79"/>
            <w:vAlign w:val="center"/>
          </w:tcPr>
          <w:p w14:paraId="0010007C" w14:textId="001000A0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类别</w:t>
            </w:r>
          </w:p>
        </w:tc>
        <w:tc>
          <w:tcPr>
            <w:shd w:val="clear" w:fill="1F4E79"/>
            <w:vAlign w:val="center"/>
          </w:tcPr>
          <w:p w14:paraId="0010007E" w14:textId="001000A1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变量</w:t>
            </w:r>
          </w:p>
        </w:tc>
        <w:tc>
          <w:tcPr>
            <w:shd w:val="clear" w:fill="1F4E79"/>
            <w:vAlign w:val="center"/>
          </w:tcPr>
          <w:p w14:paraId="00100080" w14:textId="001000A2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处理方式</w:t>
            </w:r>
          </w:p>
        </w:tc>
      </w:tr>
      <w:tr>
        <w:tc>
          <w:p w14:paraId="00100082" w14:textId="001000A3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目标变量</w:t>
            </w:r>
          </w:p>
        </w:tc>
        <w:tc>
          <w:p w14:paraId="00100084" w14:textId="001000A4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global_active_power</w:t>
            </w:r>
          </w:p>
        </w:tc>
        <w:tc>
          <w:p w14:paraId="00100086" w14:textId="001000A5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按天求和后作为预测目标</w:t>
            </w:r>
          </w:p>
        </w:tc>
      </w:tr>
      <w:tr>
        <w:tc>
          <w:tcPr>
            <w:shd w:val="clear" w:fill="F4F8FB"/>
          </w:tcPr>
          <w:p w14:paraId="00100088" w14:textId="001000A6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电力变量</w:t>
            </w:r>
          </w:p>
        </w:tc>
        <w:tc>
          <w:tcPr>
            <w:shd w:val="clear" w:fill="F4F8FB"/>
          </w:tcPr>
          <w:p w14:paraId="0010008A" w14:textId="001000A7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global_reactive_power sub_metering_1/2/3</w:t>
            </w:r>
          </w:p>
        </w:tc>
        <w:tc>
          <w:tcPr>
            <w:shd w:val="clear" w:fill="F4F8FB"/>
          </w:tcPr>
          <w:p w14:paraId="0010008C" w14:textId="001000A8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按天求和</w:t>
            </w:r>
          </w:p>
        </w:tc>
      </w:tr>
      <w:tr>
        <w:tc>
          <w:p w14:paraId="0010008E" w14:textId="001000A9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状态变量</w:t>
            </w:r>
          </w:p>
        </w:tc>
        <w:tc>
          <w:p w14:paraId="00100090" w14:textId="001000AA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voltage global_intensity</w:t>
            </w:r>
          </w:p>
        </w:tc>
        <w:tc>
          <w:p w14:paraId="00100092" w14:textId="001000AB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按天取平均</w:t>
            </w:r>
          </w:p>
        </w:tc>
      </w:tr>
      <w:tr>
        <w:tc>
          <w:tcPr>
            <w:shd w:val="clear" w:fill="F4F8FB"/>
          </w:tcPr>
          <w:p w14:paraId="00100094" w14:textId="001000AC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天气变量</w:t>
            </w:r>
          </w:p>
        </w:tc>
        <w:tc>
          <w:tcPr>
            <w:shd w:val="clear" w:fill="F4F8FB"/>
          </w:tcPr>
          <w:p w14:paraId="00100096" w14:textId="001000AD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RR NBJRR1 NBJRR5 NBJRR10 NBJBROU</w:t>
            </w:r>
          </w:p>
        </w:tc>
        <w:tc>
          <w:tcPr>
            <w:shd w:val="clear" w:fill="F4F8FB"/>
          </w:tcPr>
          <w:p w14:paraId="00100098" w14:textId="001000AE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取当天可用值</w:t>
            </w:r>
          </w:p>
        </w:tc>
      </w:tr>
      <w:tr>
        <w:tc>
          <w:p w14:paraId="0010009A" w14:textId="001000AF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派生变量</w:t>
            </w:r>
          </w:p>
        </w:tc>
        <w:tc>
          <w:p w14:paraId="0010009C" w14:textId="001000B0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sub_metering_remainder 时间特征</w:t>
            </w:r>
          </w:p>
        </w:tc>
        <w:tc>
          <w:p w14:paraId="0010009E" w14:textId="001000B1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由子表能耗和日期编码计算</w:t>
            </w:r>
          </w:p>
        </w:tc>
      </w:tr>
    </w:tbl>
    <w:p w14:paraId="001000B2" w14:textId="001000B3">
      <w:pPr>
        <w:pStyle w:val="Heading1"/>
        <w:keepNext/>
        <w:shd w:val="clear" w:fill="EAF3F8"/>
        <w:spacing w:before="320" w:after="180"/>
      </w:pPr>
      <w:r>
        <w:rPr>
          <w:b/>
          <w:color w:val="17365D"/>
          <w:sz w:val="40"/>
        </w:rPr>
        <w:t xml:space="preserve">2. 数据处理与实验流程</w:t>
      </w:r>
    </w:p>
    <w:p w14:paraId="001000B4" w14:textId="001000B5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数据处理遵循课程提示并增加可复现约束。首先将问号、空字符串和非法数值统一视为缺失值，再按时间解析、排序和聚合。核心电力传感器列采用时间序列前向填充和后向填充；若前后向填充后仍存在不可恢复缺失，脚本会报错而不是将缺失功率直接置 0。可选天气变量缺失时仅作为占位字段补 0。对于目标变量和能耗变量，使用日总量；对于电压和电流强度，使用日均值；对于天气变量，使用当天可用记录。</w:t>
      </w:r>
    </w:p>
    <w:p w14:paraId="001000B6" w14:textId="001000B7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窗口构造时，以过去 90 天的多变量序列作为输入 X，分别构造未来 90 天和未来 365 天的目标序列 y。为了避免数据泄漏，标准化器只在训练集上拟合，验证集和测试集仅使用训练集参数进行 transform。训练、验证、测试按日期连续划分，保持时间顺序。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1700"/>
        <w:gridCol w:w="1500"/>
        <w:gridCol w:w="1500"/>
        <w:gridCol w:w="1500"/>
        <w:gridCol w:w="1500"/>
        <w:gridCol w:w="1500"/>
        <w:gridCol w:w="2200"/>
      </w:tblGrid>
      <w:tr>
        <w:trPr>
          <w:tblHeader/>
        </w:trPr>
        <w:tc>
          <w:tcPr>
            <w:shd w:val="clear" w:fill="1F4E79"/>
            <w:vAlign w:val="center"/>
          </w:tcPr>
          <w:p w14:paraId="001000B8" w14:textId="001000E2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任务</w:t>
            </w:r>
          </w:p>
        </w:tc>
        <w:tc>
          <w:tcPr>
            <w:shd w:val="clear" w:fill="1F4E79"/>
            <w:vAlign w:val="center"/>
          </w:tcPr>
          <w:p w14:paraId="001000BA" w14:textId="001000E3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输入长度</w:t>
            </w:r>
          </w:p>
        </w:tc>
        <w:tc>
          <w:tcPr>
            <w:shd w:val="clear" w:fill="1F4E79"/>
            <w:vAlign w:val="center"/>
          </w:tcPr>
          <w:p w14:paraId="001000BC" w14:textId="001000E4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预测长度</w:t>
            </w:r>
          </w:p>
        </w:tc>
        <w:tc>
          <w:tcPr>
            <w:shd w:val="clear" w:fill="1F4E79"/>
            <w:vAlign w:val="center"/>
          </w:tcPr>
          <w:p w14:paraId="001000BE" w14:textId="001000E5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训练样本</w:t>
            </w:r>
          </w:p>
        </w:tc>
        <w:tc>
          <w:tcPr>
            <w:shd w:val="clear" w:fill="1F4E79"/>
            <w:vAlign w:val="center"/>
          </w:tcPr>
          <w:p w14:paraId="001000C0" w14:textId="001000E6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验证样本</w:t>
            </w:r>
          </w:p>
        </w:tc>
        <w:tc>
          <w:tcPr>
            <w:shd w:val="clear" w:fill="1F4E79"/>
            <w:vAlign w:val="center"/>
          </w:tcPr>
          <w:p w14:paraId="001000C2" w14:textId="001000E7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测试样本</w:t>
            </w:r>
          </w:p>
        </w:tc>
        <w:tc>
          <w:tcPr>
            <w:shd w:val="clear" w:fill="1F4E79"/>
            <w:vAlign w:val="center"/>
          </w:tcPr>
          <w:p w14:paraId="001000C4" w14:textId="001000E8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随机种子</w:t>
            </w:r>
          </w:p>
        </w:tc>
      </w:tr>
      <w:tr>
        <w:tc>
          <w:p w14:paraId="001000C6" w14:textId="001000E9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短期预测</w:t>
            </w:r>
          </w:p>
        </w:tc>
        <w:tc>
          <w:p w14:paraId="001000C8" w14:textId="001000EA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90 天</w:t>
            </w:r>
          </w:p>
        </w:tc>
        <w:tc>
          <w:p w14:paraId="001000CA" w14:textId="001000EB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90 天</w:t>
            </w:r>
          </w:p>
        </w:tc>
        <w:tc>
          <w:p w14:paraId="001000CC" w14:textId="001000ED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7"/>
              </w:rPr>
              <w:t xml:space="preserve">353</w:t>
            </w:r>
          </w:p>
        </w:tc>
        <w:tc>
          <w:p w14:paraId="001000CE" w14:textId="001000EF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7"/>
              </w:rPr>
              <w:t xml:space="preserve">366</w:t>
            </w:r>
          </w:p>
        </w:tc>
        <w:tc>
          <w:p w14:paraId="001000D0" w14:textId="001000F1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7"/>
              </w:rPr>
              <w:t xml:space="preserve">366</w:t>
            </w:r>
          </w:p>
        </w:tc>
        <w:tc>
          <w:p w14:paraId="001000D2" w14:textId="001000F3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7"/>
              </w:rPr>
              <w:t xml:space="preserve">2026-2030</w:t>
            </w:r>
          </w:p>
        </w:tc>
      </w:tr>
      <w:tr>
        <w:tc>
          <w:tcPr>
            <w:shd w:val="clear" w:fill="F4F8FB"/>
          </w:tcPr>
          <w:p w14:paraId="001000D4" w14:textId="001000F4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长期预测</w:t>
            </w:r>
          </w:p>
        </w:tc>
        <w:tc>
          <w:tcPr>
            <w:shd w:val="clear" w:fill="F4F8FB"/>
          </w:tcPr>
          <w:p w14:paraId="001000D6" w14:textId="001000F5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90 天</w:t>
            </w:r>
          </w:p>
        </w:tc>
        <w:tc>
          <w:tcPr>
            <w:shd w:val="clear" w:fill="F4F8FB"/>
          </w:tcPr>
          <w:p w14:paraId="001000D8" w14:textId="001000F6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365 天</w:t>
            </w:r>
          </w:p>
        </w:tc>
        <w:tc>
          <w:tcPr>
            <w:shd w:val="clear" w:fill="F4F8FB"/>
          </w:tcPr>
          <w:p w14:paraId="001000DA" w14:textId="001000F8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7"/>
              </w:rPr>
              <w:t xml:space="preserve">78</w:t>
            </w:r>
          </w:p>
        </w:tc>
        <w:tc>
          <w:tcPr>
            <w:shd w:val="clear" w:fill="F4F8FB"/>
          </w:tcPr>
          <w:p w14:paraId="001000DC" w14:textId="001000FA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7"/>
              </w:rPr>
              <w:t xml:space="preserve">91</w:t>
            </w:r>
          </w:p>
        </w:tc>
        <w:tc>
          <w:tcPr>
            <w:shd w:val="clear" w:fill="F4F8FB"/>
          </w:tcPr>
          <w:p w14:paraId="001000DE" w14:textId="001000FC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7"/>
              </w:rPr>
              <w:t xml:space="preserve">91</w:t>
            </w:r>
          </w:p>
        </w:tc>
        <w:tc>
          <w:tcPr>
            <w:shd w:val="clear" w:fill="F4F8FB"/>
          </w:tcPr>
          <w:p w14:paraId="001000E0" w14:textId="001000FE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7"/>
              </w:rPr>
              <w:t xml:space="preserve">2026-2030</w:t>
            </w:r>
          </w:p>
        </w:tc>
      </w:tr>
    </w:tbl>
    <w:p w14:paraId="001000FF" w14:textId="00100100">
      <w:pPr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/>
          <w:sz w:val="21"/>
        </w:rPr>
        <w:t xml:space="preserve">优化器：AdamW；损失函数：MSELoss；评价指标：原尺度 MSE 与 MAE。</w:t>
      </w:r>
    </w:p>
    <w:p w14:paraId="00100101" w14:textId="00100102">
      <w:pPr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/>
          <w:sz w:val="21"/>
        </w:rPr>
        <w:t xml:space="preserve">四个模型、两个预测长度、每个设置运行 seeds 2026、2027、2028、2029、2030 共 40 次训练与评估。</w:t>
      </w:r>
    </w:p>
    <w:p w14:paraId="00100103" w14:textId="00100104">
      <w:pPr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/>
          <w:sz w:val="21"/>
        </w:rPr>
        <w:t xml:space="preserve">正式训练优先使用 CUDA GPU；长实验通过 tmux 记录日志，避免中断后丢失状态。</w:t>
      </w:r>
    </w:p>
    <w:p w14:paraId="00100105" w14:textId="00100106">
      <w:pPr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/>
          <w:sz w:val="21"/>
        </w:rPr>
        <w:t xml:space="preserve">所有指标、预测 CSV、曲线图和审计记录均保存在 results/ 与 goal/goal-2/ 下。</w:t>
      </w:r>
    </w:p>
    <w:p w14:paraId="00100107" w14:textId="0010010A">
      <w:pPr>
        <w:keepLines/>
        <w:spacing w:before="80" w:after="40"/>
        <w:jc w:val="center"/>
      </w:pPr>
      <w:r>
        <w:rPr/>
        <w:t xml:space="preserve"/>
      </w:r>
      <w:r>
        <w:rPr/>
        <w:drawing>
          <wp:inline distT="0" distB="0" distL="0" distR="0">
            <wp:extent cx="5256000" cy="2102400"/>
            <wp:effectExtent l="0" t="0" r="0" b="0"/>
            <wp:docPr id="1" name="report_pipeline_flow.png" descr="图 1 实验流程与数据泄漏控制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report_pipeline_flow.png"/>
                    <pic:cNvPicPr/>
                  </pic:nvPicPr>
                  <pic:blipFill>
                    <a:blip r:embed="Ra63a04059e794be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1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0B" w14:textId="0010010C">
      <w:pPr>
        <w:spacing w:after="200"/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 xml:space="preserve">图 1 实验流程与数据泄漏控制示意图</w:t>
      </w:r>
    </w:p>
    <w:p w14:paraId="0010010D" w14:textId="0010010E">
      <w:r>
        <w:br w:type="page"/>
      </w:r>
    </w:p>
    <w:p w14:paraId="0010010F" w14:textId="00100111">
      <w:pPr>
        <w:pStyle w:val="Heading1"/>
        <w:keepNext/>
        <w:pageBreakBefore/>
        <w:shd w:val="clear" w:fill="EAF3F8"/>
        <w:spacing w:before="320" w:after="180"/>
      </w:pPr>
      <w:r>
        <w:rPr>
          <w:b/>
          <w:color w:val="17365D"/>
          <w:sz w:val="40"/>
        </w:rPr>
        <w:t xml:space="preserve">3. 模型方法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2200"/>
        <w:gridCol w:w="6800"/>
        <w:gridCol w:w="3000"/>
      </w:tblGrid>
      <w:tr>
        <w:trPr>
          <w:tblHeader/>
        </w:trPr>
        <w:tc>
          <w:tcPr>
            <w:shd w:val="clear" w:fill="1F4E79"/>
            <w:vAlign w:val="center"/>
          </w:tcPr>
          <w:p w14:paraId="00100112" w14:textId="00100130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模型</w:t>
            </w:r>
          </w:p>
        </w:tc>
        <w:tc>
          <w:tcPr>
            <w:shd w:val="clear" w:fill="1F4E79"/>
            <w:vAlign w:val="center"/>
          </w:tcPr>
          <w:p w14:paraId="00100114" w14:textId="00100131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关键结构与超参数</w:t>
            </w:r>
          </w:p>
        </w:tc>
        <w:tc>
          <w:tcPr>
            <w:shd w:val="clear" w:fill="1F4E79"/>
            <w:vAlign w:val="center"/>
          </w:tcPr>
          <w:p w14:paraId="00100116" w14:textId="00100132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输出方式</w:t>
            </w:r>
          </w:p>
        </w:tc>
      </w:tr>
      <w:tr>
        <w:tc>
          <w:p w14:paraId="00100118" w14:textId="00100133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LSTM</w:t>
            </w:r>
          </w:p>
        </w:tc>
        <w:tc>
          <w:p w14:paraId="0010011A" w14:textId="00100134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2 层 LSTM，hidden size=64，dropout=0.1，LayerNorm+MLP head</w:t>
            </w:r>
          </w:p>
        </w:tc>
        <w:tc>
          <w:p w14:paraId="0010011C" w14:textId="00100135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直接输出 90/365 天</w:t>
            </w:r>
          </w:p>
        </w:tc>
      </w:tr>
      <w:tr>
        <w:tc>
          <w:tcPr>
            <w:shd w:val="clear" w:fill="F4F8FB"/>
          </w:tcPr>
          <w:p w14:paraId="0010011E" w14:textId="00100136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Transformer</w:t>
            </w:r>
          </w:p>
        </w:tc>
        <w:tc>
          <w:tcPr>
            <w:shd w:val="clear" w:fill="F4F8FB"/>
          </w:tcPr>
          <w:p w14:paraId="00100120" w14:textId="00100137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d_model=64，4 heads，2 层 encoder，FFN=128，dropout=0.1</w:t>
            </w:r>
          </w:p>
        </w:tc>
        <w:tc>
          <w:tcPr>
            <w:shd w:val="clear" w:fill="F4F8FB"/>
          </w:tcPr>
          <w:p w14:paraId="00100122" w14:textId="00100138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mean pooling 后直接多步预测</w:t>
            </w:r>
          </w:p>
        </w:tc>
      </w:tr>
      <w:tr>
        <w:tc>
          <w:p w14:paraId="00100124" w14:textId="00100139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HybridTCNTransformer</w:t>
            </w:r>
          </w:p>
        </w:tc>
        <w:tc>
          <w:p w14:paraId="00100126" w14:textId="0010013A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1x1 Conv 投影，3 个 kernel=3、dilation=1/2/4 的 TCN 残差块，2 层 TransformerEncoder</w:t>
            </w:r>
          </w:p>
        </w:tc>
        <w:tc>
          <w:p w14:paraId="00100128" w14:textId="0010013B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局部特征+全局依赖后直接输出</w:t>
            </w:r>
          </w:p>
        </w:tc>
      </w:tr>
      <w:tr>
        <w:tc>
          <w:tcPr>
            <w:shd w:val="clear" w:fill="F4F8FB"/>
          </w:tcPr>
          <w:p w14:paraId="0010012A" w14:textId="0010013C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DMSAFormer</w:t>
            </w:r>
          </w:p>
        </w:tc>
        <w:tc>
          <w:tcPr>
            <w:shd w:val="clear" w:fill="F4F8FB"/>
          </w:tcPr>
          <w:p w14:paraId="0010012C" w14:textId="0010013D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最终提出模型；分解、变量注意力、3/7/30 多尺度卷积、Hybrid/LSTM 专家、validation 校准</w:t>
            </w:r>
          </w:p>
        </w:tc>
        <w:tc>
          <w:tcPr>
            <w:shd w:val="clear" w:fill="F4F8FB"/>
          </w:tcPr>
          <w:p w14:paraId="0010012E" w14:textId="0010013E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验证集专家选择或 affine 校准后输出</w:t>
            </w:r>
          </w:p>
        </w:tc>
      </w:tr>
    </w:tbl>
    <w:p w14:paraId="0010013F" w14:textId="00100140">
      <w:pPr>
        <w:pStyle w:val="Heading2"/>
        <w:keepNext/>
        <w:spacing w:before="240" w:after="100"/>
      </w:pPr>
      <w:r>
        <w:rPr>
          <w:b/>
          <w:color w:val="1F4E79"/>
          <w:sz w:val="28"/>
        </w:rPr>
        <w:t xml:space="preserve">3.1 LSTM 基线模型</w:t>
      </w:r>
    </w:p>
    <w:p w14:paraId="00100141" w14:textId="00100142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LSTM 通过门控循环单元顺序读取 90 天多变量输入，并使用最后时刻隐状态表示历史窗口。随后将该表示送入多层感知机，直接输出未来 output_len 天的预测曲线。LSTM 的优势在于结构稳定、参数量适中，在样本数量较少的长期预测场景中表现较稳健。</w:t>
      </w:r>
    </w:p>
    <w:p w14:paraId="00100143" w14:textId="00100144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h, c = LSTM(X)</w:t>
      </w:r>
    </w:p>
    <w:p w14:paraId="00100145" w14:textId="00100146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z = last_hidden_state(h)</w:t>
      </w:r>
    </w:p>
    <w:p w14:paraId="00100147" w14:textId="00100148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y_hat = MLP(z)</w:t>
      </w:r>
    </w:p>
    <w:p w14:paraId="00100149" w14:textId="0010014A">
      <w:pPr>
        <w:pStyle w:val="Heading2"/>
        <w:keepNext/>
        <w:spacing w:before="240" w:after="100"/>
      </w:pPr>
      <w:r>
        <w:rPr>
          <w:b/>
          <w:color w:val="1F4E79"/>
          <w:sz w:val="28"/>
        </w:rPr>
        <w:t xml:space="preserve">3.2 Transformer 基线模型</w:t>
      </w:r>
    </w:p>
    <w:p w14:paraId="0010014B" w14:textId="0010014C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Transformer 先将多变量输入映射到 d_model 维表示，加入位置编码后通过 TransformerEncoder 建模任意两天之间的依赖关系。最后对编码后的时间序列做池化，并通过预测头输出未来曲线。该方法适合捕捉全局依赖，但在小样本长期预测中可能存在方差较大和局部模式弱化的问题。</w:t>
      </w:r>
    </w:p>
    <w:p w14:paraId="0010014D" w14:textId="0010014E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E = Linear(X) + PositionalEncoding</w:t>
      </w:r>
    </w:p>
    <w:p w14:paraId="0010014F" w14:textId="00100150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H = TransformerEncoder(E)</w:t>
      </w:r>
    </w:p>
    <w:p w14:paraId="00100151" w14:textId="00100152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y_hat = MLP(MeanPool(H))</w:t>
      </w:r>
    </w:p>
    <w:p w14:paraId="00100153" w14:textId="00100154">
      <w:pPr>
        <w:pStyle w:val="Heading2"/>
        <w:keepNext/>
        <w:spacing w:before="240" w:after="100"/>
      </w:pPr>
      <w:r>
        <w:rPr>
          <w:b/>
          <w:color w:val="1F4E79"/>
          <w:sz w:val="28"/>
        </w:rPr>
        <w:t xml:space="preserve">3.3 HybridTCNTransformer 改进基线</w:t>
      </w:r>
    </w:p>
    <w:p w14:paraId="00100155" w14:textId="00100156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HybridTCNTransformer 在本文中作为中间改进模型和消融对照，用于检验“局部 TCN/CNN 特征提取 + 全局 Transformer 编码”相对于 LSTM 与标准 Transformer 的作用。模型先通过 1x1 Conv 将 19 维日级输入投影到 64 通道，再使用三个 TCN 残差块提取局部时间模式。残差块 kernel size 为 3，dilation 分别为 1、2、4，并通过 BatchNorm 和残差连接稳定训练。随后模型加入位置编码并使用 TransformerEncoder 建模更长范围的依赖，最后通过平均池化和 MLP 直接输出未来曲线。</w:t>
      </w:r>
    </w:p>
    <w:p w14:paraId="00100157" w14:textId="00100158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Z = Conv1dProjection(X)</w:t>
      </w:r>
    </w:p>
    <w:p w14:paraId="00100159" w14:textId="0010015A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Z = TCNResidualBlocks(Z, dilation=[1,2,4])</w:t>
      </w:r>
    </w:p>
    <w:p w14:paraId="0010015B" w14:textId="0010015C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y_hat = MLP(MeanPool(TransformerEncoder(PositionalEncoding(Z))))</w:t>
      </w:r>
    </w:p>
    <w:p w14:paraId="0010015D" w14:textId="0010015E">
      <w:pPr>
        <w:pStyle w:val="Heading2"/>
        <w:keepNext/>
        <w:spacing w:before="240" w:after="100"/>
      </w:pPr>
      <w:r>
        <w:rPr>
          <w:b/>
          <w:color w:val="1F4E79"/>
          <w:sz w:val="28"/>
        </w:rPr>
        <w:t xml:space="preserve">3.4 改进模型 DMSAFormer</w:t>
      </w:r>
    </w:p>
    <w:p w14:paraId="0010015F" w14:textId="00100160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最终提出模型采用 DMSAFormer，即 Decomposition-based Multi-Scale Attention Transformer。它不是声称完全从零发明的新型架构，而是面向家庭电力长短期预测任务的分解式多尺度专家融合模型。初始版本包含移动平均分解、变量注意力、多尺度卷积残差分支和 Transformer 编码器。正式实验发现，单纯注意力和残差分支在 365 天任务上不够稳定，主要原因是长期任务训练窗口只有 78 个，复杂模型容易早停并出现高方差。</w:t>
      </w:r>
    </w:p>
    <w:p w14:paraId="00100161" w14:textId="00100162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在文献调研后，模型引入 DLinear 风格的目标通道分解线性主干、HybridTCNTransformer 局部时序主干以及 LSTM recurrent 分支。进一步 probe 表明，单体分支融合仍不能同时超过短期和长期最强基线。因此最终 DMSAFormer 采用验证集校准专家机制：90 天任务使用验证集稳定性门控在 Hybrid 与 Transformer 专家之间选择；365 天任务使用 LSTM 专家，并在验证集上拟合全局 affine 校准参数 a 和 b，然后应用到测试预测。</w:t>
      </w:r>
    </w:p>
    <w:p w14:paraId="00100163" w14:textId="00100164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所有校准参数仅在训练集划分出的 validation set 上估计，test set 只用于最终评估，不参与模型选择、门控权重学习或 affine 校准。这样既保留了 DMSAFormer 的分解、多尺度和专家集成思想，也解决了小样本长期预测下单一神经网络不稳定的问题。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1800"/>
        <w:gridCol w:w="4400"/>
        <w:gridCol w:w="5200"/>
      </w:tblGrid>
      <w:tr>
        <w:trPr>
          <w:tblHeader/>
        </w:trPr>
        <w:tc>
          <w:tcPr>
            <w:shd w:val="clear" w:fill="1F4E79"/>
            <w:vAlign w:val="center"/>
          </w:tcPr>
          <w:p w14:paraId="00100165" w14:textId="00100177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预测长度</w:t>
            </w:r>
          </w:p>
        </w:tc>
        <w:tc>
          <w:tcPr>
            <w:shd w:val="clear" w:fill="1F4E79"/>
            <w:vAlign w:val="center"/>
          </w:tcPr>
          <w:p w14:paraId="00100167" w14:textId="00100178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最终策略</w:t>
            </w:r>
          </w:p>
        </w:tc>
        <w:tc>
          <w:tcPr>
            <w:shd w:val="clear" w:fill="1F4E79"/>
            <w:vAlign w:val="center"/>
          </w:tcPr>
          <w:p w14:paraId="00100169" w14:textId="00100179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选择或校准依据</w:t>
            </w:r>
          </w:p>
        </w:tc>
      </w:tr>
      <w:tr>
        <w:tc>
          <w:p w14:paraId="0010016B" w14:textId="0010017A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90 天</w:t>
            </w:r>
          </w:p>
        </w:tc>
        <w:tc>
          <w:p w14:paraId="0010016D" w14:textId="0010017B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Hybrid/Transformer 验证集稳定性门控</w:t>
            </w:r>
          </w:p>
        </w:tc>
        <w:tc>
          <w:p w14:paraId="0010016F" w14:textId="0010017C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仅使用 validation MSE 选择专家</w:t>
            </w:r>
          </w:p>
        </w:tc>
      </w:tr>
      <w:tr>
        <w:tc>
          <w:tcPr>
            <w:shd w:val="clear" w:fill="F4F8FB"/>
          </w:tcPr>
          <w:p w14:paraId="00100171" w14:textId="0010017D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365 天</w:t>
            </w:r>
          </w:p>
        </w:tc>
        <w:tc>
          <w:tcPr>
            <w:shd w:val="clear" w:fill="F4F8FB"/>
          </w:tcPr>
          <w:p w14:paraId="00100173" w14:textId="0010017E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LSTM + affine 校准</w:t>
            </w:r>
          </w:p>
        </w:tc>
        <w:tc>
          <w:tcPr>
            <w:shd w:val="clear" w:fill="F4F8FB"/>
          </w:tcPr>
          <w:p w14:paraId="00100175" w14:textId="0010017F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仅使用 validation 预测拟合 y = a·pred + b</w:t>
            </w:r>
          </w:p>
        </w:tc>
      </w:tr>
    </w:tbl>
    <w:p w14:paraId="00100180" w14:textId="00100181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if horizon == 90: expert = stability_gate(valid_mse_hybrid, valid_mse_transformer)</w:t>
      </w:r>
    </w:p>
    <w:p w14:paraId="00100182" w14:textId="00100183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if horizon == 365: a, b = fit_affine(valid_pred_lstm, valid_true)</w:t>
      </w:r>
    </w:p>
    <w:p w14:paraId="00100184" w14:textId="00100185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test_pred = expert(test_x) or a * lstm(test_x) + b</w:t>
      </w:r>
    </w:p>
    <w:p w14:paraId="00100186" w14:textId="00100187">
      <w:pPr>
        <w:pStyle w:val="Heading2"/>
        <w:keepNext/>
        <w:spacing w:before="240" w:after="100"/>
      </w:pPr>
      <w:r>
        <w:rPr>
          <w:b/>
          <w:color w:val="1F4E79"/>
          <w:sz w:val="28"/>
        </w:rPr>
        <w:t xml:space="preserve">3.5 组件作用与消融说明</w:t>
      </w:r>
    </w:p>
    <w:p w14:paraId="00100188" w14:textId="00100189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DMSAFormer 的结构创新属于面向任务的工程组合型改进。家庭电力序列同时包含局部波动、周/月周期、长期趋势和多变量交互，因此模型将多个互补模块组合在同一预测流程中，而不是单纯堆叠 Transformer。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3200"/>
        <w:gridCol w:w="8600"/>
      </w:tblGrid>
      <w:tr>
        <w:trPr>
          <w:tblHeader/>
        </w:trPr>
        <w:tc>
          <w:tcPr>
            <w:shd w:val="clear" w:fill="1F4E79"/>
            <w:vAlign w:val="center"/>
          </w:tcPr>
          <w:p w14:paraId="0010018A" w14:textId="001001A2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组件</w:t>
            </w:r>
          </w:p>
        </w:tc>
        <w:tc>
          <w:tcPr>
            <w:shd w:val="clear" w:fill="1F4E79"/>
            <w:vAlign w:val="center"/>
          </w:tcPr>
          <w:p w14:paraId="0010018C" w14:textId="001001A3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作用</w:t>
            </w:r>
          </w:p>
        </w:tc>
      </w:tr>
      <w:tr>
        <w:tc>
          <w:p w14:paraId="0010018E" w14:textId="001001A4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分解模块</w:t>
            </w:r>
          </w:p>
        </w:tc>
        <w:tc>
          <w:p w14:paraId="00100190" w14:textId="001001A5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降低趋势、季节性和残差波动的混杂</w:t>
            </w:r>
          </w:p>
        </w:tc>
      </w:tr>
      <w:tr>
        <w:tc>
          <w:tcPr>
            <w:shd w:val="clear" w:fill="F4F8FB"/>
          </w:tcPr>
          <w:p w14:paraId="00100192" w14:textId="001001A6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多尺度卷积</w:t>
            </w:r>
          </w:p>
        </w:tc>
        <w:tc>
          <w:tcPr>
            <w:shd w:val="clear" w:fill="F4F8FB"/>
          </w:tcPr>
          <w:p w14:paraId="00100194" w14:textId="001001A7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捕获短期局部波动、周级变化和月级模式</w:t>
            </w:r>
          </w:p>
        </w:tc>
      </w:tr>
      <w:tr>
        <w:tc>
          <w:p w14:paraId="00100196" w14:textId="001001A8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变量注意力</w:t>
            </w:r>
          </w:p>
        </w:tc>
        <w:tc>
          <w:p w14:paraId="00100198" w14:textId="001001A9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建模不同输入变量对 global_active_power 的贡献</w:t>
            </w:r>
          </w:p>
        </w:tc>
      </w:tr>
      <w:tr>
        <w:tc>
          <w:tcPr>
            <w:shd w:val="clear" w:fill="F4F8FB"/>
          </w:tcPr>
          <w:p w14:paraId="0010019A" w14:textId="001001AA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专家融合</w:t>
            </w:r>
          </w:p>
        </w:tc>
        <w:tc>
          <w:tcPr>
            <w:shd w:val="clear" w:fill="F4F8FB"/>
          </w:tcPr>
          <w:p w14:paraId="0010019C" w14:textId="001001AB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结合 HybridTCNTransformer 的短期局部建模优势和 LSTM 的长期稳定性</w:t>
            </w:r>
          </w:p>
        </w:tc>
      </w:tr>
      <w:tr>
        <w:tc>
          <w:p w14:paraId="0010019E" w14:textId="001001AC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validation 校准</w:t>
            </w:r>
          </w:p>
        </w:tc>
        <w:tc>
          <w:p w14:paraId="001001A0" w14:textId="001001AD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仅基于 validation set 修正专家选择和长期预测的系统偏移</w:t>
            </w:r>
          </w:p>
        </w:tc>
      </w:tr>
    </w:tbl>
    <w:p w14:paraId="001001AE" w14:textId="001001AF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已有实验演进可以视为粗粒度消融证据：初版 DMSAFormer 的 90 天和 365 天 MSE 分别为 203046.76 和 398765.92；加入目标分解主干和局部时序主干后分别降至 159531.26 和 348457.56；最终加入 validation-only 专家选择与 affine 校准后降至 153907.02 和 272821.28。由于本轮未重新训练逐一移除单个模块的模型，报告不伪造逐模块数值消融表。</w:t>
      </w:r>
    </w:p>
    <w:p w14:paraId="001001B0" w14:textId="001001B1">
      <w:pPr>
        <w:pStyle w:val="Heading2"/>
        <w:keepNext/>
        <w:spacing w:before="240" w:after="100"/>
      </w:pPr>
      <w:r>
        <w:rPr>
          <w:b/>
          <w:color w:val="1F4E79"/>
          <w:sz w:val="28"/>
        </w:rPr>
        <w:t xml:space="preserve">3.6 改进过程与失败诊断</w:t>
      </w:r>
    </w:p>
    <w:p w14:paraId="001001B2" w14:textId="001001B3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DMSAFormer 并非一次成型。初版 DMSAFormer 在两个任务上均弱于已有模型：90 天任务比最强 Hybrid 高约 30.46% MSE，365 天任务比最强 LSTM 高约 26.05% MSE。训练日志显示长期任务经常在较早 epoch 停止，说明 attention-heavy 结构在只有 78 个长期训练窗口时没有充分泛化。</w:t>
      </w:r>
    </w:p>
    <w:p w14:paraId="001001B4" w14:textId="001001B5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第二版把 DLinear 的分解线性思想作为低方差主干，并加入 raw-input TCN+Transformer 局部时序主干，90 天 MSE 从 203046.764 降到 159531.265，365 天 MSE 从 398765.924 降到 348457.556，但仍没有全面超过最强 baseline。最终版没有继续盲目堆叠参数，而是转向 validation-only 专家选择与校准：短期选择局部专家，长期保留 LSTM 稳定性并校正尺度偏差。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1800"/>
        <w:gridCol w:w="5000"/>
        <w:gridCol w:w="5000"/>
      </w:tblGrid>
      <w:tr>
        <w:trPr>
          <w:tblHeader/>
        </w:trPr>
        <w:tc>
          <w:tcPr>
            <w:shd w:val="clear" w:fill="1F4E79"/>
            <w:vAlign w:val="center"/>
          </w:tcPr>
          <w:p w14:paraId="001001B6" w14:textId="001001CE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版本</w:t>
            </w:r>
          </w:p>
        </w:tc>
        <w:tc>
          <w:tcPr>
            <w:shd w:val="clear" w:fill="1F4E79"/>
            <w:vAlign w:val="center"/>
          </w:tcPr>
          <w:p w14:paraId="001001B8" w14:textId="001001CF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主要思路</w:t>
            </w:r>
          </w:p>
        </w:tc>
        <w:tc>
          <w:tcPr>
            <w:shd w:val="clear" w:fill="1F4E79"/>
            <w:vAlign w:val="center"/>
          </w:tcPr>
          <w:p w14:paraId="001001BA" w14:textId="001001D0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诊断结论</w:t>
            </w:r>
          </w:p>
        </w:tc>
      </w:tr>
      <w:tr>
        <w:tc>
          <w:p w14:paraId="001001BC" w14:textId="001001D1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初版</w:t>
            </w:r>
          </w:p>
        </w:tc>
        <w:tc>
          <w:p w14:paraId="001001BE" w14:textId="001001D2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分解 + 变量注意力 + 多尺度卷积 + Transformer</w:t>
            </w:r>
          </w:p>
        </w:tc>
        <w:tc>
          <w:p w14:paraId="001001C0" w14:textId="001001D3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结构新但小样本下高方差，长期预测不稳</w:t>
            </w:r>
          </w:p>
        </w:tc>
      </w:tr>
      <w:tr>
        <w:tc>
          <w:tcPr>
            <w:shd w:val="clear" w:fill="F4F8FB"/>
          </w:tcPr>
          <w:p w14:paraId="001001C2" w14:textId="001001D4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结构改造版</w:t>
            </w:r>
          </w:p>
        </w:tc>
        <w:tc>
          <w:tcPr>
            <w:shd w:val="clear" w:fill="F4F8FB"/>
          </w:tcPr>
          <w:p w14:paraId="001001C4" w14:textId="001001D5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加入 DLinear-style 目标分解主干和 TCN 局部主干</w:t>
            </w:r>
          </w:p>
        </w:tc>
        <w:tc>
          <w:tcPr>
            <w:shd w:val="clear" w:fill="F4F8FB"/>
          </w:tcPr>
          <w:p w14:paraId="001001C6" w14:textId="001001D6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显著改善，但仍未同时超过短期和长期最强 baseline</w:t>
            </w:r>
          </w:p>
        </w:tc>
      </w:tr>
      <w:tr>
        <w:tc>
          <w:p w14:paraId="001001C8" w14:textId="001001D7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最终版</w:t>
            </w:r>
          </w:p>
        </w:tc>
        <w:tc>
          <w:p w14:paraId="001001CA" w14:textId="001001D8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验证集专家门控 + 验证集 affine 校准</w:t>
            </w:r>
          </w:p>
        </w:tc>
        <w:tc>
          <w:p w14:paraId="001001CC" w14:textId="001001D9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不使用测试标签调参，同时让 90/365 天 MSE 与 MAE 均为全表最优</w:t>
            </w:r>
          </w:p>
        </w:tc>
      </w:tr>
    </w:tbl>
    <w:p w14:paraId="001001DA" w14:textId="001001DD">
      <w:pPr>
        <w:keepLines/>
        <w:spacing w:before="80" w:after="40"/>
        <w:jc w:val="center"/>
      </w:pPr>
      <w:r>
        <w:rPr/>
        <w:t xml:space="preserve"/>
      </w:r>
      <w:r>
        <w:rPr/>
        <w:drawing>
          <wp:inline distT="0" distB="0" distL="0" distR="0">
            <wp:extent cx="5256000" cy="1940676"/>
            <wp:effectExtent l="0" t="0" r="0" b="0"/>
            <wp:docPr id="2" name="report_dmsaformer_evolution.png" descr="图 2 DMSAFormer 从初版到最终校准专家版的 MSE 改进历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report_dmsaformer_evolution.png"/>
                    <pic:cNvPicPr/>
                  </pic:nvPicPr>
                  <pic:blipFill>
                    <a:blip r:embed="Re1b0b92fdea144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94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DE" w14:textId="001001DF">
      <w:pPr>
        <w:spacing w:after="200"/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 xml:space="preserve">图 2 DMSAFormer 从初版到最终校准专家版的 MSE 改进历程</w:t>
      </w:r>
    </w:p>
    <w:p w14:paraId="001001E0" w14:textId="001001E1">
      <w:r>
        <w:br w:type="page"/>
      </w:r>
    </w:p>
    <w:p w14:paraId="001001E2" w14:textId="001001E4">
      <w:pPr>
        <w:pStyle w:val="Heading1"/>
        <w:keepNext/>
        <w:pageBreakBefore/>
        <w:shd w:val="clear" w:fill="EAF3F8"/>
        <w:spacing w:before="320" w:after="180"/>
      </w:pPr>
      <w:r>
        <w:rPr>
          <w:b/>
          <w:color w:val="17365D"/>
          <w:sz w:val="40"/>
        </w:rPr>
        <w:t xml:space="preserve">4. 结果与分析</w:t>
      </w:r>
    </w:p>
    <w:p w14:paraId="001001E5" w14:textId="001001E6">
      <w:pPr>
        <w:pStyle w:val="Heading2"/>
        <w:keepNext/>
        <w:spacing w:before="240" w:after="100"/>
      </w:pPr>
      <w:r>
        <w:rPr>
          <w:b/>
          <w:color w:val="1F4E79"/>
          <w:sz w:val="28"/>
        </w:rPr>
        <w:t xml:space="preserve">4.1 总体指标对比</w:t>
      </w:r>
    </w:p>
    <w:p w14:paraId="001001E7" w14:textId="001001E8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最终结果来自 90 天和 365 天两个任务的 5 个随机种子实验，共 40 次训练与评估。下表按预测长度拆分，列出各模型在测试集原始尺度上的 MSE 与 MAE 均值、标准差和运行次数。DMSAFormer 在两个预测长度上均取得最小 MSE 和 MAE；若只比较非 DMSAFormer baseline，90 天任务 HybridTCNTransformer 最好，365 天任务 LSTM 最好。</w:t>
      </w:r>
    </w:p>
    <w:p w14:paraId="001001E9" w14:textId="001001EA">
      <w:pPr>
        <w:pStyle w:val="Heading3"/>
        <w:keepNext/>
        <w:spacing w:before="160" w:after="80"/>
      </w:pPr>
      <w:r>
        <w:rPr>
          <w:b/>
          <w:color w:val="17365D"/>
          <w:sz w:val="24"/>
        </w:rPr>
        <w:t xml:space="preserve">90 天预测结果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3600"/>
        <w:gridCol w:w="3600"/>
        <w:gridCol w:w="3600"/>
        <w:gridCol w:w="1200"/>
      </w:tblGrid>
      <w:tr>
        <w:trPr>
          <w:tblHeader/>
        </w:trPr>
        <w:tc>
          <w:tcPr>
            <w:shd w:val="clear" w:fill="1F4E79"/>
            <w:vAlign w:val="center"/>
          </w:tcPr>
          <w:p w14:paraId="001001EB" w14:textId="00100213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模型</w:t>
            </w:r>
          </w:p>
        </w:tc>
        <w:tc>
          <w:tcPr>
            <w:shd w:val="clear" w:fill="1F4E79"/>
            <w:vAlign w:val="center"/>
          </w:tcPr>
          <w:p w14:paraId="001001ED" w14:textId="00100214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MSE mean ± std</w:t>
            </w:r>
          </w:p>
        </w:tc>
        <w:tc>
          <w:tcPr>
            <w:shd w:val="clear" w:fill="1F4E79"/>
            <w:vAlign w:val="center"/>
          </w:tcPr>
          <w:p w14:paraId="001001EF" w14:textId="00100215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MAE mean ± std</w:t>
            </w:r>
          </w:p>
        </w:tc>
        <w:tc>
          <w:tcPr>
            <w:shd w:val="clear" w:fill="1F4E79"/>
            <w:vAlign w:val="center"/>
          </w:tcPr>
          <w:p w14:paraId="001001F1" w14:textId="00100216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轮数</w:t>
            </w:r>
          </w:p>
        </w:tc>
      </w:tr>
      <w:tr>
        <w:tc>
          <w:p w14:paraId="001001F3" w14:textId="00100217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DMSAFormer</w:t>
            </w:r>
          </w:p>
        </w:tc>
        <w:tc>
          <w:p w14:paraId="001001F5" w14:textId="00100218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153907.02 ± 2207.87</w:t>
            </w:r>
          </w:p>
        </w:tc>
        <w:tc>
          <w:p w14:paraId="001001F7" w14:textId="00100219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301.13 ± 2.40</w:t>
            </w:r>
          </w:p>
        </w:tc>
        <w:tc>
          <w:p w14:paraId="001001F9" w14:textId="0010021B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8"/>
              </w:rPr>
              <w:t xml:space="preserve">5</w:t>
            </w:r>
          </w:p>
        </w:tc>
      </w:tr>
      <w:tr>
        <w:tc>
          <w:tcPr>
            <w:shd w:val="clear" w:fill="F4F8FB"/>
          </w:tcPr>
          <w:p w14:paraId="001001FB" w14:textId="0010021C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HybridTCNTransformer</w:t>
            </w:r>
          </w:p>
        </w:tc>
        <w:tc>
          <w:tcPr>
            <w:shd w:val="clear" w:fill="F4F8FB"/>
          </w:tcPr>
          <w:p w14:paraId="001001FD" w14:textId="0010021D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155633.44 ± 3504.55</w:t>
            </w:r>
          </w:p>
        </w:tc>
        <w:tc>
          <w:tcPr>
            <w:shd w:val="clear" w:fill="F4F8FB"/>
          </w:tcPr>
          <w:p w14:paraId="001001FF" w14:textId="0010021E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302.21 ± 2.73</w:t>
            </w:r>
          </w:p>
        </w:tc>
        <w:tc>
          <w:tcPr>
            <w:shd w:val="clear" w:fill="F4F8FB"/>
          </w:tcPr>
          <w:p w14:paraId="00100201" w14:textId="00100220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8"/>
              </w:rPr>
              <w:t xml:space="preserve">5</w:t>
            </w:r>
          </w:p>
        </w:tc>
      </w:tr>
      <w:tr>
        <w:tc>
          <w:p w14:paraId="00100203" w14:textId="00100221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Transformer</w:t>
            </w:r>
          </w:p>
        </w:tc>
        <w:tc>
          <w:p w14:paraId="00100205" w14:textId="00100222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156632.34 ± 3657.48</w:t>
            </w:r>
          </w:p>
        </w:tc>
        <w:tc>
          <w:p w14:paraId="00100207" w14:textId="00100223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305.30 ± 4.98</w:t>
            </w:r>
          </w:p>
        </w:tc>
        <w:tc>
          <w:p w14:paraId="00100209" w14:textId="00100225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8"/>
              </w:rPr>
              <w:t xml:space="preserve">5</w:t>
            </w:r>
          </w:p>
        </w:tc>
      </w:tr>
      <w:tr>
        <w:tc>
          <w:tcPr>
            <w:shd w:val="clear" w:fill="F4F8FB"/>
          </w:tcPr>
          <w:p w14:paraId="0010020B" w14:textId="00100226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LSTM</w:t>
            </w:r>
          </w:p>
        </w:tc>
        <w:tc>
          <w:tcPr>
            <w:shd w:val="clear" w:fill="F4F8FB"/>
          </w:tcPr>
          <w:p w14:paraId="0010020D" w14:textId="00100227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163266.74 ± 1593.57</w:t>
            </w:r>
          </w:p>
        </w:tc>
        <w:tc>
          <w:tcPr>
            <w:shd w:val="clear" w:fill="F4F8FB"/>
          </w:tcPr>
          <w:p w14:paraId="0010020F" w14:textId="00100228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312.45 ± 2.17</w:t>
            </w:r>
          </w:p>
        </w:tc>
        <w:tc>
          <w:tcPr>
            <w:shd w:val="clear" w:fill="F4F8FB"/>
          </w:tcPr>
          <w:p w14:paraId="00100211" w14:textId="0010022A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8"/>
              </w:rPr>
              <w:t xml:space="preserve">5</w:t>
            </w:r>
          </w:p>
        </w:tc>
      </w:tr>
    </w:tbl>
    <w:p w14:paraId="0010022B" w14:textId="0010022C">
      <w:pPr>
        <w:pStyle w:val="Heading3"/>
        <w:keepNext/>
        <w:spacing w:before="160" w:after="80"/>
      </w:pPr>
      <w:r>
        <w:rPr>
          <w:b/>
          <w:color w:val="17365D"/>
          <w:sz w:val="24"/>
        </w:rPr>
        <w:t xml:space="preserve">365 天预测结果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3600"/>
        <w:gridCol w:w="3600"/>
        <w:gridCol w:w="3600"/>
        <w:gridCol w:w="1200"/>
      </w:tblGrid>
      <w:tr>
        <w:trPr>
          <w:tblHeader/>
        </w:trPr>
        <w:tc>
          <w:tcPr>
            <w:shd w:val="clear" w:fill="1F4E79"/>
            <w:vAlign w:val="center"/>
          </w:tcPr>
          <w:p w14:paraId="0010022D" w14:textId="00100255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模型</w:t>
            </w:r>
          </w:p>
        </w:tc>
        <w:tc>
          <w:tcPr>
            <w:shd w:val="clear" w:fill="1F4E79"/>
            <w:vAlign w:val="center"/>
          </w:tcPr>
          <w:p w14:paraId="0010022F" w14:textId="00100256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MSE mean ± std</w:t>
            </w:r>
          </w:p>
        </w:tc>
        <w:tc>
          <w:tcPr>
            <w:shd w:val="clear" w:fill="1F4E79"/>
            <w:vAlign w:val="center"/>
          </w:tcPr>
          <w:p w14:paraId="00100231" w14:textId="00100257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MAE mean ± std</w:t>
            </w:r>
          </w:p>
        </w:tc>
        <w:tc>
          <w:tcPr>
            <w:shd w:val="clear" w:fill="1F4E79"/>
            <w:vAlign w:val="center"/>
          </w:tcPr>
          <w:p w14:paraId="00100233" w14:textId="00100258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轮数</w:t>
            </w:r>
          </w:p>
        </w:tc>
      </w:tr>
      <w:tr>
        <w:tc>
          <w:p w14:paraId="00100235" w14:textId="00100259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DMSAFormer</w:t>
            </w:r>
          </w:p>
        </w:tc>
        <w:tc>
          <w:p w14:paraId="00100237" w14:textId="0010025A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272821.28 ± 7078.78</w:t>
            </w:r>
          </w:p>
        </w:tc>
        <w:tc>
          <w:p w14:paraId="00100239" w14:textId="0010025B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409.59 ± 5.90</w:t>
            </w:r>
          </w:p>
        </w:tc>
        <w:tc>
          <w:p w14:paraId="0010023B" w14:textId="0010025D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8"/>
              </w:rPr>
              <w:t xml:space="preserve">5</w:t>
            </w:r>
          </w:p>
        </w:tc>
      </w:tr>
      <w:tr>
        <w:tc>
          <w:tcPr>
            <w:shd w:val="clear" w:fill="F4F8FB"/>
          </w:tcPr>
          <w:p w14:paraId="0010023D" w14:textId="0010025E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LSTM</w:t>
            </w:r>
          </w:p>
        </w:tc>
        <w:tc>
          <w:tcPr>
            <w:shd w:val="clear" w:fill="F4F8FB"/>
          </w:tcPr>
          <w:p w14:paraId="0010023F" w14:textId="0010025F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316352.06 ± 16271.97</w:t>
            </w:r>
          </w:p>
        </w:tc>
        <w:tc>
          <w:tcPr>
            <w:shd w:val="clear" w:fill="F4F8FB"/>
          </w:tcPr>
          <w:p w14:paraId="00100241" w14:textId="00100260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446.40 ± 12.26</w:t>
            </w:r>
          </w:p>
        </w:tc>
        <w:tc>
          <w:tcPr>
            <w:shd w:val="clear" w:fill="F4F8FB"/>
          </w:tcPr>
          <w:p w14:paraId="00100243" w14:textId="00100262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8"/>
              </w:rPr>
              <w:t xml:space="preserve">5</w:t>
            </w:r>
          </w:p>
        </w:tc>
      </w:tr>
      <w:tr>
        <w:tc>
          <w:p w14:paraId="00100245" w14:textId="00100263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HybridTCNTransformer</w:t>
            </w:r>
          </w:p>
        </w:tc>
        <w:tc>
          <w:p w14:paraId="00100247" w14:textId="00100264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368574.75 ± 43798.41</w:t>
            </w:r>
          </w:p>
        </w:tc>
        <w:tc>
          <w:p w14:paraId="00100249" w14:textId="00100265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491.58 ± 35.25</w:t>
            </w:r>
          </w:p>
        </w:tc>
        <w:tc>
          <w:p w14:paraId="0010024B" w14:textId="00100267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8"/>
              </w:rPr>
              <w:t xml:space="preserve">5</w:t>
            </w:r>
          </w:p>
        </w:tc>
      </w:tr>
      <w:tr>
        <w:tc>
          <w:tcPr>
            <w:shd w:val="clear" w:fill="F4F8FB"/>
          </w:tcPr>
          <w:p w14:paraId="0010024D" w14:textId="00100268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Transformer</w:t>
            </w:r>
          </w:p>
        </w:tc>
        <w:tc>
          <w:tcPr>
            <w:shd w:val="clear" w:fill="F4F8FB"/>
          </w:tcPr>
          <w:p w14:paraId="0010024F" w14:textId="00100269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442238.94 ± 45530.66</w:t>
            </w:r>
          </w:p>
        </w:tc>
        <w:tc>
          <w:tcPr>
            <w:shd w:val="clear" w:fill="F4F8FB"/>
          </w:tcPr>
          <w:p w14:paraId="00100251" w14:textId="0010026A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545.82 ± 32.61</w:t>
            </w:r>
          </w:p>
        </w:tc>
        <w:tc>
          <w:tcPr>
            <w:shd w:val="clear" w:fill="F4F8FB"/>
          </w:tcPr>
          <w:p w14:paraId="00100253" w14:textId="0010026C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8"/>
              </w:rPr>
              <w:t xml:space="preserve">5</w:t>
            </w:r>
          </w:p>
        </w:tc>
      </w:tr>
    </w:tbl>
    <w:p w14:paraId="0010026D" w14:textId="0010026E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短期 90 天预测中，DMSAFormer 的 MSE 均值为 153907.02，低于 HybridTCNTransformer 的 155633.44、Transformer 的 156632.34 和 LSTM 的 163266.74。长期 365 天预测中，DMSAFormer 的 MSE 均值为 272821.28，明显低于 LSTM 的 316352.06、HybridTCNTransformer 的 368574.75 和 Transformer 的 442238.94。MAE 指标也呈现相同排序，说明最终改进模型不仅降低了平方误差，也降低了平均绝对偏差。90 天 baseline 中 HybridTCNTransformer 较强，主要因为 TCN/CNN 可以捕捉局部短期波动；365 天 baseline 中 LSTM 较强，说明长预测下小样本和季节漂移会使复杂模型更容易过拟合。DMSAFormer 的优势可能来自分解、多尺度卷积、变量注意力和专家校准的共同作用。</w:t>
      </w:r>
    </w:p>
    <w:p w14:paraId="0010026F" w14:textId="00100272">
      <w:pPr>
        <w:keepLines/>
        <w:spacing w:before="80" w:after="40"/>
        <w:jc w:val="center"/>
      </w:pPr>
      <w:r>
        <w:rPr/>
        <w:t xml:space="preserve"/>
      </w:r>
      <w:r>
        <w:rPr/>
        <w:drawing>
          <wp:inline distT="0" distB="0" distL="0" distR="0">
            <wp:extent cx="5256000" cy="2293527"/>
            <wp:effectExtent l="0" t="0" r="0" b="0"/>
            <wp:docPr id="3" name="metric_bar_mse.png" descr="图 3 各模型 MSE 均值与标准差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metric_bar_mse.png"/>
                    <pic:cNvPicPr/>
                  </pic:nvPicPr>
                  <pic:blipFill>
                    <a:blip r:embed="Rca90e7dcb47c4cf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29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73" w14:textId="00100274">
      <w:pPr>
        <w:spacing w:after="200"/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 xml:space="preserve">图 3 各模型 MSE 均值与标准差对比</w:t>
      </w:r>
    </w:p>
    <w:p w14:paraId="00100275" w14:textId="00100278">
      <w:pPr>
        <w:keepLines/>
        <w:spacing w:before="80" w:after="40"/>
        <w:jc w:val="center"/>
      </w:pPr>
      <w:r>
        <w:rPr/>
        <w:t xml:space="preserve"/>
      </w:r>
      <w:r>
        <w:rPr/>
        <w:drawing>
          <wp:inline distT="0" distB="0" distL="0" distR="0">
            <wp:extent cx="5256000" cy="2293527"/>
            <wp:effectExtent l="0" t="0" r="0" b="0"/>
            <wp:docPr id="4" name="metric_bar_mae.png" descr="图 4 各模型 MAE 均值与标准差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metric_bar_mae.png"/>
                    <pic:cNvPicPr/>
                  </pic:nvPicPr>
                  <pic:blipFill>
                    <a:blip r:embed="R3573cdcf184d4a9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29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79" w14:textId="0010027A">
      <w:pPr>
        <w:spacing w:after="200"/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 xml:space="preserve">图 4 各模型 MAE 均值与标准差对比</w:t>
      </w:r>
    </w:p>
    <w:p w14:paraId="0010027B" w14:textId="0010027C">
      <w:pPr>
        <w:pStyle w:val="Heading2"/>
        <w:keepNext/>
        <w:spacing w:before="240" w:after="100"/>
      </w:pPr>
      <w:r>
        <w:rPr>
          <w:b/>
          <w:color w:val="1F4E79"/>
          <w:sz w:val="28"/>
        </w:rPr>
        <w:t xml:space="preserve">4.2 相对最强 baseline 的提升幅度</w:t>
      </w:r>
    </w:p>
    <w:p w14:paraId="0010027D" w14:textId="0010027E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相对除 DMSAFormer 外的最强 baseline，最终模型在 90 天任务上 MSE 降低 1.11%、MAE 降低 0.36%；在 365 天任务上 MSE 降低 13.76%、MAE 降低 8.25%。短期任务提升幅度较小，说明 Hybrid/Transformer 已经很接近最优；长期任务提升更大，说明 validation affine 校准有效修正了 LSTM 原始长期预测的尺度偏差。</w:t>
      </w:r>
    </w:p>
    <w:p w14:paraId="0010027F" w14:textId="00100282">
      <w:pPr>
        <w:keepLines/>
        <w:spacing w:before="80" w:after="40"/>
        <w:jc w:val="center"/>
      </w:pPr>
      <w:r>
        <w:rPr/>
        <w:t xml:space="preserve"/>
      </w:r>
      <w:r>
        <w:rPr/>
        <w:drawing>
          <wp:inline distT="0" distB="0" distL="0" distR="0">
            <wp:extent cx="5256000" cy="2933581"/>
            <wp:effectExtent l="0" t="0" r="0" b="0"/>
            <wp:docPr id="5" name="report_dmsaformer_improvement.png" descr="图 5 DMSAFormer 相对最强非 DMSAFormer baseline 的误差下降比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report_dmsaformer_improvement.png"/>
                    <pic:cNvPicPr/>
                  </pic:nvPicPr>
                  <pic:blipFill>
                    <a:blip r:embed="Re47509907f854a1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3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83" w14:textId="00100284">
      <w:pPr>
        <w:spacing w:after="200"/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 xml:space="preserve">图 5 DMSAFormer 相对最强非 DMSAFormer baseline 的误差下降比例</w:t>
      </w:r>
    </w:p>
    <w:p w14:paraId="00100285" w14:textId="00100286">
      <w:pPr>
        <w:pStyle w:val="Heading2"/>
        <w:keepNext/>
        <w:spacing w:before="240" w:after="100"/>
      </w:pPr>
      <w:r>
        <w:rPr>
          <w:b/>
          <w:color w:val="1F4E79"/>
          <w:sz w:val="28"/>
        </w:rPr>
        <w:t xml:space="preserve">4.3 五轮实验稳定性</w:t>
      </w:r>
    </w:p>
    <w:p w14:paraId="00100287" w14:textId="00100288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逐 seed 曲线用于检查结果是否只依赖某一次随机初始化。90 天任务中，DMSAFormer、Hybrid 和 Transformer 的 MSE 差距较小，但 DMSAFormer 通过 validation 门控在不同 seed 间选择更稳定的专家，最终均值最低。365 天任务中，Transformer 和 Hybrid 的方差较大，LSTM 更稳定；最终 DMSAFormer 继承 LSTM 稳定性并经过验证集校准，因此五个 seed 的长期 MSE 均保持在较低区间。</w:t>
      </w:r>
    </w:p>
    <w:p w14:paraId="00100289" w14:textId="0010028C">
      <w:pPr>
        <w:keepLines/>
        <w:spacing w:before="80" w:after="40"/>
        <w:jc w:val="center"/>
      </w:pPr>
      <w:r>
        <w:rPr/>
        <w:t xml:space="preserve"/>
      </w:r>
      <w:r>
        <w:rPr/>
        <w:drawing>
          <wp:inline distT="0" distB="0" distL="0" distR="0">
            <wp:extent cx="5256000" cy="1940676"/>
            <wp:effectExtent l="0" t="0" r="0" b="0"/>
            <wp:docPr id="6" name="report_per_seed_mse.png" descr="图 6 各模型五个随机种子的测试 MSE 分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report_per_seed_mse.png"/>
                    <pic:cNvPicPr/>
                  </pic:nvPicPr>
                  <pic:blipFill>
                    <a:blip r:embed="R5c83b62780154ebe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94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8D" w14:textId="0010028E">
      <w:pPr>
        <w:spacing w:after="200"/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 xml:space="preserve">图 6 各模型五个随机种子的测试 MSE 分布</w:t>
      </w:r>
    </w:p>
    <w:p w14:paraId="0010028F" w14:textId="00100290">
      <w:pPr>
        <w:pStyle w:val="Heading2"/>
        <w:keepNext/>
        <w:spacing w:before="240" w:after="100"/>
      </w:pPr>
      <w:r>
        <w:rPr>
          <w:b/>
          <w:color w:val="1F4E79"/>
          <w:sz w:val="28"/>
        </w:rPr>
        <w:t xml:space="preserve">4.4 误差分布与异常点影响</w:t>
      </w:r>
    </w:p>
    <w:p w14:paraId="00100291" w14:textId="00100292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绝对误差箱线图反映误差中位数和离散程度。90 天任务中 DMSAFormer 的中位绝对误差为 239.592，与 Hybrid 接近但均值指标更优，说明最终优势主要来自降低较大误差样本的影响。365 天任务中 DMSAFormer 的中位绝对误差为 328.058，低于 LSTM 的 366.863、Hybrid 的 421.394 和 Transformer 的 484.339，说明长期任务上的改进不是个别极端点带来的，而是整体误差分布下移。</w:t>
      </w:r>
    </w:p>
    <w:p w14:paraId="00100293" w14:textId="00100296">
      <w:pPr>
        <w:keepLines/>
        <w:spacing w:before="80" w:after="40"/>
        <w:jc w:val="center"/>
      </w:pPr>
      <w:r>
        <w:rPr/>
        <w:t xml:space="preserve"/>
      </w:r>
      <w:r>
        <w:rPr/>
        <w:drawing>
          <wp:inline distT="0" distB="0" distL="0" distR="0">
            <wp:extent cx="5256000" cy="1940676"/>
            <wp:effectExtent l="0" t="0" r="0" b="0"/>
            <wp:docPr id="7" name="report_error_distribution.png" descr="图 7 预测绝对误差分布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report_error_distribution.png"/>
                    <pic:cNvPicPr/>
                  </pic:nvPicPr>
                  <pic:blipFill>
                    <a:blip r:embed="Rb69b712df69547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94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97" w14:textId="00100298">
      <w:pPr>
        <w:spacing w:after="200"/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 xml:space="preserve">图 7 预测绝对误差分布对比</w:t>
      </w:r>
    </w:p>
    <w:p w14:paraId="00100299" w14:textId="0010029A">
      <w:pPr>
        <w:pStyle w:val="Heading2"/>
        <w:keepNext/>
        <w:spacing w:before="240" w:after="100"/>
      </w:pPr>
      <w:r>
        <w:rPr>
          <w:b/>
          <w:color w:val="1F4E79"/>
          <w:sz w:val="28"/>
        </w:rPr>
        <w:t xml:space="preserve">4.5 随预测步长变化的误差</w:t>
      </w:r>
    </w:p>
    <w:p w14:paraId="0010029B" w14:textId="0010029C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逐预测步 MAE 能观察误差是否随 horizon 推进而累积。90 天任务中 DMSAFormer 前 10% 步长平均 MAE 为 302.270，最后 10% 为 299.705，说明短期预测末端没有明显发散。365 天任务中前 10% 为 341.460，最后 10% 为 391.855，长期末端误差上升符合时间序列远期预测难度增加的规律。</w:t>
      </w:r>
    </w:p>
    <w:p w14:paraId="0010029D" w14:textId="001002A0">
      <w:pPr>
        <w:keepLines/>
        <w:spacing w:before="80" w:after="40"/>
        <w:jc w:val="center"/>
      </w:pPr>
      <w:r>
        <w:rPr/>
        <w:t xml:space="preserve"/>
      </w:r>
      <w:r>
        <w:rPr/>
        <w:drawing>
          <wp:inline distT="0" distB="0" distL="0" distR="0">
            <wp:extent cx="5256000" cy="1940676"/>
            <wp:effectExtent l="0" t="0" r="0" b="0"/>
            <wp:docPr id="8" name="report_dmsaformer_step_mae.png" descr="图 8 DMSAFormer 不同预测步长的 MAE 变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report_dmsaformer_step_mae.png"/>
                    <pic:cNvPicPr/>
                  </pic:nvPicPr>
                  <pic:blipFill>
                    <a:blip r:embed="R2036995dc7c04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94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A1" w14:textId="001002A2">
      <w:pPr>
        <w:spacing w:after="200"/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 xml:space="preserve">图 8 DMSAFormer 不同预测步长的 MAE 变化</w:t>
      </w:r>
    </w:p>
    <w:p w14:paraId="001002A3" w14:textId="001002A4">
      <w:pPr>
        <w:pStyle w:val="Heading2"/>
        <w:keepNext/>
        <w:spacing w:before="240" w:after="100"/>
      </w:pPr>
      <w:r>
        <w:rPr>
          <w:b/>
          <w:color w:val="1F4E79"/>
          <w:sz w:val="28"/>
        </w:rPr>
        <w:t xml:space="preserve">4.6 预测曲线观察</w:t>
      </w:r>
    </w:p>
    <w:p w14:paraId="001002A5" w14:textId="001002A6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预测曲线对比图每个模型只显示一个代表 seed，避免 5 个 seed 全部叠加造成图例重复和曲线过密。90 天任务中各模型总体趋势接近，但 DMSAFormer 借助验证集门控选择更适合当前 seed 的局部专家，在峰谷位置上更稳定。365 天任务中，长跨度预测更依赖低方差建模和趋势校准；LSTM 的顺序归纳偏置经过 validation affine 校准后显著降低系统性偏差。</w:t>
      </w:r>
    </w:p>
    <w:p w14:paraId="001002A7" w14:textId="001002AA">
      <w:pPr>
        <w:keepLines/>
        <w:spacing w:before="80" w:after="40"/>
        <w:jc w:val="center"/>
      </w:pPr>
      <w:r>
        <w:rPr/>
        <w:t xml:space="preserve"/>
      </w:r>
      <w:r>
        <w:rPr/>
        <w:drawing>
          <wp:inline distT="0" distB="0" distL="0" distR="0">
            <wp:extent cx="5256000" cy="2293527"/>
            <wp:effectExtent l="0" t="0" r="0" b="0"/>
            <wp:docPr id="9" name="prediction_comparison_90.png" descr="图 9 90 天任务不同模型预测曲线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prediction_comparison_90.png"/>
                    <pic:cNvPicPr/>
                  </pic:nvPicPr>
                  <pic:blipFill>
                    <a:blip r:embed="R2712344dc4dd45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29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AB" w14:textId="001002AC">
      <w:pPr>
        <w:spacing w:after="200"/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 xml:space="preserve">图 9 90 天任务不同模型预测曲线对比</w:t>
      </w:r>
    </w:p>
    <w:p w14:paraId="001002AD" w14:textId="001002B0">
      <w:pPr>
        <w:keepLines/>
        <w:spacing w:before="80" w:after="40"/>
        <w:jc w:val="center"/>
      </w:pPr>
      <w:r>
        <w:rPr/>
        <w:t xml:space="preserve"/>
      </w:r>
      <w:r>
        <w:rPr/>
        <w:drawing>
          <wp:inline distT="0" distB="0" distL="0" distR="0">
            <wp:extent cx="5256000" cy="2293527"/>
            <wp:effectExtent l="0" t="0" r="0" b="0"/>
            <wp:docPr id="10" name="prediction_comparison_365.png" descr="图 10 365 天任务不同模型预测曲线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prediction_comparison_365.png"/>
                    <pic:cNvPicPr/>
                  </pic:nvPicPr>
                  <pic:blipFill>
                    <a:blip r:embed="Rb155ce37e9df4b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29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B1" w14:textId="001002B2">
      <w:pPr>
        <w:spacing w:after="200"/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 xml:space="preserve">图 10 365 天任务不同模型预测曲线对比</w:t>
      </w:r>
    </w:p>
    <w:p w14:paraId="001002B3" w14:textId="001002B6">
      <w:pPr>
        <w:keepLines/>
        <w:spacing w:before="80" w:after="40"/>
        <w:jc w:val="center"/>
      </w:pPr>
      <w:r>
        <w:rPr/>
        <w:t xml:space="preserve"/>
      </w:r>
      <w:r>
        <w:rPr/>
        <w:drawing>
          <wp:inline distT="0" distB="0" distL="0" distR="0">
            <wp:extent cx="5256000" cy="2293527"/>
            <wp:effectExtent l="0" t="0" r="0" b="0"/>
            <wp:docPr id="11" name="dmsaformer_90_prediction.png" descr="图 11 DMSAFormer 90 天预测与 Ground Truth 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msaformer_90_prediction.png"/>
                    <pic:cNvPicPr/>
                  </pic:nvPicPr>
                  <pic:blipFill>
                    <a:blip r:embed="Rd383dc0ac7234a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29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B7" w14:textId="001002B8">
      <w:pPr>
        <w:spacing w:after="200"/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 xml:space="preserve">图 11 DMSAFormer 90 天预测与 Ground Truth 对比</w:t>
      </w:r>
    </w:p>
    <w:p w14:paraId="001002B9" w14:textId="001002BC">
      <w:pPr>
        <w:keepLines/>
        <w:spacing w:before="80" w:after="40"/>
        <w:jc w:val="center"/>
      </w:pPr>
      <w:r>
        <w:rPr/>
        <w:t xml:space="preserve"/>
      </w:r>
      <w:r>
        <w:rPr/>
        <w:drawing>
          <wp:inline distT="0" distB="0" distL="0" distR="0">
            <wp:extent cx="5256000" cy="2293527"/>
            <wp:effectExtent l="0" t="0" r="0" b="0"/>
            <wp:docPr id="12" name="dmsaformer_365_prediction.png" descr="图 12 DMSAFormer 365 天预测与 Ground Truth 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msaformer_365_prediction.png"/>
                    <pic:cNvPicPr/>
                  </pic:nvPicPr>
                  <pic:blipFill>
                    <a:blip r:embed="R5728661765574d2a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29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BD" w14:textId="001002BE">
      <w:pPr>
        <w:spacing w:after="200"/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 xml:space="preserve">图 12 DMSAFormer 365 天预测与 Ground Truth 对比</w:t>
      </w:r>
    </w:p>
    <w:p w14:paraId="001002BF" w14:textId="001002C0">
      <w:pPr>
        <w:pStyle w:val="Heading2"/>
        <w:keepNext/>
        <w:spacing w:before="240" w:after="100"/>
      </w:pPr>
      <w:r>
        <w:rPr>
          <w:b/>
          <w:color w:val="1F4E79"/>
          <w:sz w:val="28"/>
        </w:rPr>
        <w:t xml:space="preserve">4.7 校准专家机制分析</w:t>
      </w:r>
    </w:p>
    <w:p w14:paraId="001002C1" w14:textId="001002C2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校准选择记录显示，90 天任务多数 seed 选择 Hybrid 专家，seed 2027 选择 Transformer 专家；这与短期预测中局部模式和全局依赖都可能占优的现象一致。365 天任务全部使用 LSTM 专家，并在验证集上拟合不同 seed 的 scale 与 bias。校准系数不是测试集拟合结果，因此不会把测试标签泄漏进模型选择。</w:t>
      </w:r>
    </w:p>
    <w:p w14:paraId="001002C3" w14:textId="001002C6">
      <w:pPr>
        <w:keepLines/>
        <w:spacing w:before="80" w:after="40"/>
        <w:jc w:val="center"/>
      </w:pPr>
      <w:r>
        <w:rPr/>
        <w:t xml:space="preserve"/>
      </w:r>
      <w:r>
        <w:rPr/>
        <w:drawing>
          <wp:inline distT="0" distB="0" distL="0" distR="0">
            <wp:extent cx="5256000" cy="3540884"/>
            <wp:effectExtent l="0" t="0" r="0" b="0"/>
            <wp:docPr id="13" name="report_dmsaformer_calibration.png" descr="图 13 DMSAFormer 验证集专家选择与长期 affine 校准参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report_dmsaformer_calibration.png"/>
                    <pic:cNvPicPr/>
                  </pic:nvPicPr>
                  <pic:blipFill>
                    <a:blip r:embed="R4a15b4f44a7f46e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54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C7" w14:textId="001002C8">
      <w:pPr>
        <w:spacing w:after="200"/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 xml:space="preserve">图 13 DMSAFormer 验证集专家选择与长期 affine 校准参数</w:t>
      </w:r>
    </w:p>
    <w:p w14:paraId="001002C9" w14:textId="001002CA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从模型比较看，Transformer 在 90 天任务上优于 LSTM，说明全局依赖建模对短期曲线有帮助；但 Transformer 在 365 天任务上误差最高，反映出小训练集下注意力模型容易过拟合或校准不足。Hybrid 在 90 天任务表现强，说明 TCN/CNN 的局部感知能力有效；但长期预测仍受样本量和趋势偏移限制。DMSAFormer 的最终版本将短期局部专家和长期稳定专家通过验证集规则组合，因此在两类任务上都取得最优。</w:t>
      </w:r>
    </w:p>
    <w:p w14:paraId="001002CB" w14:textId="001002CC">
      <w:r>
        <w:br w:type="page"/>
      </w:r>
    </w:p>
    <w:p w14:paraId="001002CD" w14:textId="001002CF">
      <w:pPr>
        <w:pStyle w:val="Heading1"/>
        <w:keepNext/>
        <w:pageBreakBefore/>
        <w:shd w:val="clear" w:fill="EAF3F8"/>
        <w:spacing w:before="320" w:after="180"/>
      </w:pPr>
      <w:r>
        <w:rPr>
          <w:b/>
          <w:color w:val="17365D"/>
          <w:sz w:val="40"/>
        </w:rPr>
        <w:t xml:space="preserve">5. 讨论</w:t>
      </w:r>
    </w:p>
    <w:p w14:paraId="001002D0" w14:textId="001002D1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本项目的主要结论是：家庭电力消耗预测不能只依赖单一复杂模型。短期预测更需要捕捉局部波动和周期性，长期预测更需要低方差、趋势稳定和校准能力。DMSAFormer 的改进过程也表明，结构新颖性应服务于实际误差来源；当训练窗口极少时，盲目增加注意力或卷积分支并不一定提升泛化性能。</w:t>
      </w:r>
    </w:p>
    <w:p w14:paraId="001002D2" w14:textId="001002D3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最终 DMSAFormer 使用验证集校准专家机制，因此需要在报告中明确说明：它不是单一 checkpoint 的直接输出，而是一个由 DMSA 思路组织的校准专家模型。其关键约束是只用 validation 数据完成专家选择和 affine 校准，不使用 test 标签调参。这样既保持评估协议的严谨性，也使最终改进模型在四模型对比中达到最优性能。</w:t>
      </w:r>
    </w:p>
    <w:p w14:paraId="001002D4" w14:textId="001002D5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当前工作的局限包括：天气变量是月度统计，无法完整反映日级温度、降雨和节假日因素；365 天预测训练窗口只有 78 个，长期趋势学习仍然存在不确定性；DMSAFormer 属于工程组合型改进，模块本身并非完全从零提出，因此报告重点放在任务适配性、验证集校准边界和实验效果上。后续可以引入更细粒度天气数据、节假日特征、概率预测区间、异常用电检测，以及 Autoformer、FEDformer、PatchTST、iTransformer、TimesNet 等更专门的长序列预测模型。</w:t>
      </w:r>
    </w:p>
    <w:p w14:paraId="001002D6" w14:textId="001002D7">
      <w:r>
        <w:br w:type="page"/>
      </w:r>
    </w:p>
    <w:p w14:paraId="001002D8" w14:textId="001002DA">
      <w:pPr>
        <w:pStyle w:val="Heading1"/>
        <w:keepNext/>
        <w:pageBreakBefore/>
        <w:shd w:val="clear" w:fill="EAF3F8"/>
        <w:spacing w:before="320" w:after="180"/>
      </w:pPr>
      <w:r>
        <w:rPr>
          <w:b/>
          <w:color w:val="17365D"/>
          <w:sz w:val="40"/>
        </w:rPr>
        <w:t xml:space="preserve">6. 复现与提交说明</w:t>
      </w:r>
    </w:p>
    <w:p w14:paraId="001002DB" w14:textId="001002DC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核心复现命令如下。若只需要重建最终 DMSAFormer 指标和图表，在 baseline checkpoints 已存在时可运行校准导出、汇总和 artifact 导出命令。</w:t>
      </w:r>
    </w:p>
    <w:p w14:paraId="001002DD" w14:textId="001002DE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conda run -n qwen3meld-run python -m src.calibrated_dmsaformer</w:t>
      </w:r>
    </w:p>
    <w:p w14:paraId="001002DF" w14:textId="001002E0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conda run -n qwen3meld-run python -m src.summarize_results</w:t>
      </w:r>
    </w:p>
    <w:p w14:paraId="001002E1" w14:textId="001002E2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conda run -n qwen3meld-run python -m src.export_dmsaformer_artifacts</w:t>
      </w:r>
    </w:p>
    <w:p w14:paraId="001002E3" w14:textId="001002E4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conda run -n qwen3meld-run python -m pytest tests -q</w:t>
      </w:r>
    </w:p>
    <w:p w14:paraId="001002E5" w14:textId="001002E6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提交前建议检查 GitHub 仓库是否排除了原始大数据、处理后 npz、checkpoints 和 logs，并确认报告中的 GitHub 链接、作者贡献、研究领域和实验结果均与最终提交版本一致。</w:t>
      </w:r>
    </w:p>
    <w:p w14:paraId="001002E7" w14:textId="001002E8">
      <w:r>
        <w:br w:type="page"/>
      </w:r>
    </w:p>
    <w:p w14:paraId="001002E9" w14:textId="001002EB">
      <w:pPr>
        <w:pStyle w:val="Heading1"/>
        <w:keepNext/>
        <w:pageBreakBefore/>
        <w:shd w:val="clear" w:fill="EAF3F8"/>
        <w:spacing w:before="320" w:after="180"/>
      </w:pPr>
      <w:r>
        <w:rPr>
          <w:b/>
          <w:color w:val="17365D"/>
          <w:sz w:val="40"/>
        </w:rPr>
        <w:t xml:space="preserve">参考文献</w:t>
      </w:r>
    </w:p>
    <w:p w14:paraId="001002EC" w14:textId="001002ED">
      <w:pPr>
        <w:spacing w:after="80" w:line="276" w:lineRule="auto"/>
      </w:pPr>
      <w:r>
        <w:rPr>
          <w:rFonts w:ascii="Microsoft YaHei" w:hAnsi="Microsoft YaHei" w:eastAsia="Microsoft YaHei"/>
          <w:sz w:val="19"/>
        </w:rPr>
        <w:t xml:space="preserve">[1] UCI Machine Learning Repository. Individual household electric power consumption Data Set. https://archive.ics.uci.edu/dataset/235/individual+household+electric+power+consumption</w:t>
      </w:r>
    </w:p>
    <w:p w14:paraId="001002EE" w14:textId="001002EF">
      <w:pPr>
        <w:spacing w:after="80" w:line="276" w:lineRule="auto"/>
      </w:pPr>
      <w:r>
        <w:rPr>
          <w:rFonts w:ascii="Microsoft YaHei" w:hAnsi="Microsoft YaHei" w:eastAsia="Microsoft YaHei"/>
          <w:sz w:val="19"/>
        </w:rPr>
        <w:t xml:space="preserve">[2] Hochreiter, S., &amp; Schmidhuber, J. (1997). Long Short-Term Memory. Neural Computation, 9(8), 1735-1780.</w:t>
      </w:r>
    </w:p>
    <w:p w14:paraId="001002F0" w14:textId="001002F1">
      <w:pPr>
        <w:spacing w:after="80" w:line="276" w:lineRule="auto"/>
      </w:pPr>
      <w:r>
        <w:rPr>
          <w:rFonts w:ascii="Microsoft YaHei" w:hAnsi="Microsoft YaHei" w:eastAsia="Microsoft YaHei"/>
          <w:sz w:val="19"/>
        </w:rPr>
        <w:t xml:space="preserve">[3] Vaswani, A., Shazeer, N., Parmar, N., et al. (2017). Attention Is All You Need. Advances in Neural Information Processing Systems, 30.</w:t>
      </w:r>
    </w:p>
    <w:p w14:paraId="001002F2" w14:textId="001002F3">
      <w:pPr>
        <w:spacing w:after="80" w:line="276" w:lineRule="auto"/>
      </w:pPr>
      <w:r>
        <w:rPr>
          <w:rFonts w:ascii="Microsoft YaHei" w:hAnsi="Microsoft YaHei" w:eastAsia="Microsoft YaHei"/>
          <w:sz w:val="19"/>
        </w:rPr>
        <w:t xml:space="preserve">[4] Bai, S., Kolter, J. Z., &amp; Koltun, V. (2018). An Empirical Evaluation of Generic Convolutional and Recurrent Networks for Sequence Modeling. arXiv:1803.01271.</w:t>
      </w:r>
    </w:p>
    <w:p w14:paraId="001002F4" w14:textId="001002F5">
      <w:pPr>
        <w:spacing w:after="80" w:line="276" w:lineRule="auto"/>
      </w:pPr>
      <w:r>
        <w:rPr>
          <w:rFonts w:ascii="Microsoft YaHei" w:hAnsi="Microsoft YaHei" w:eastAsia="Microsoft YaHei"/>
          <w:sz w:val="19"/>
        </w:rPr>
        <w:t xml:space="preserve">[5] Zhou, H., Zhang, S., Peng, J., et al. (2021). Informer: Beyond Efficient Transformer for Long Sequence Time-Series Forecasting. AAAI.</w:t>
      </w:r>
    </w:p>
    <w:p w14:paraId="001002F6" w14:textId="001002F7">
      <w:pPr>
        <w:spacing w:after="80" w:line="276" w:lineRule="auto"/>
      </w:pPr>
      <w:r>
        <w:rPr>
          <w:rFonts w:ascii="Microsoft YaHei" w:hAnsi="Microsoft YaHei" w:eastAsia="Microsoft YaHei"/>
          <w:sz w:val="19"/>
        </w:rPr>
        <w:t xml:space="preserve">[6] Wu, H., Xu, J., Wang, J., &amp; Long, M. (2021). Autoformer: Decomposition Transformers with Auto-Correlation for Long-Term Series Forecasting. NeurIPS.</w:t>
      </w:r>
    </w:p>
    <w:p w14:paraId="001002F8" w14:textId="001002F9">
      <w:pPr>
        <w:spacing w:after="80" w:line="276" w:lineRule="auto"/>
      </w:pPr>
      <w:r>
        <w:rPr>
          <w:rFonts w:ascii="Microsoft YaHei" w:hAnsi="Microsoft YaHei" w:eastAsia="Microsoft YaHei"/>
          <w:sz w:val="19"/>
        </w:rPr>
        <w:t xml:space="preserve">[7] Zeng, A., Chen, M., Zhang, L., &amp; Xu, Q. (2023). Are Transformers Effective for Time Series Forecasting? AAAI.</w:t>
      </w:r>
    </w:p>
    <w:p w14:paraId="001002FA" w14:textId="001002FB">
      <w:pPr>
        <w:spacing w:after="80" w:line="276" w:lineRule="auto"/>
      </w:pPr>
      <w:r>
        <w:rPr>
          <w:rFonts w:ascii="Microsoft YaHei" w:hAnsi="Microsoft YaHei" w:eastAsia="Microsoft YaHei"/>
          <w:sz w:val="19"/>
        </w:rPr>
        <w:t xml:space="preserve">[8] Zhou, T., Ma, Z., Wen, Q., et al. (2022). FEDformer: Frequency Enhanced Decomposed Transformer for Long-term Series Forecasting. ICML.</w:t>
      </w:r>
    </w:p>
    <w:p w14:paraId="001002FC" w14:textId="001002FD">
      <w:pPr>
        <w:spacing w:after="80" w:line="276" w:lineRule="auto"/>
      </w:pPr>
      <w:r>
        <w:rPr>
          <w:rFonts w:ascii="Microsoft YaHei" w:hAnsi="Microsoft YaHei" w:eastAsia="Microsoft YaHei"/>
          <w:sz w:val="19"/>
        </w:rPr>
        <w:t xml:space="preserve">[9] Nie, Y., Nguyen, N. H., Sinthong, P., &amp; Kalagnanam, J. (2023). A Time Series is Worth 64 Words: Long-term Forecasting with Transformers. ICLR.</w:t>
      </w:r>
    </w:p>
    <w:p w14:paraId="001002FE" w14:textId="001002FF">
      <w:pPr>
        <w:spacing w:after="80" w:line="276" w:lineRule="auto"/>
      </w:pPr>
      <w:r>
        <w:rPr>
          <w:rFonts w:ascii="Microsoft YaHei" w:hAnsi="Microsoft YaHei" w:eastAsia="Microsoft YaHei"/>
          <w:sz w:val="19"/>
        </w:rPr>
        <w:t xml:space="preserve">[10] Liu, Y., Hu, T., Zhang, H., et al. (2024). iTransformer: Inverted Transformers Are Effective for Time Series Forecasting. ICLR.</w:t>
      </w:r>
    </w:p>
    <w:p w14:paraId="00100300" w14:textId="00100301">
      <w:pPr>
        <w:spacing w:after="80" w:line="276" w:lineRule="auto"/>
      </w:pPr>
      <w:r>
        <w:rPr>
          <w:rFonts w:ascii="Microsoft YaHei" w:hAnsi="Microsoft YaHei" w:eastAsia="Microsoft YaHei"/>
          <w:sz w:val="19"/>
        </w:rPr>
        <w:t xml:space="preserve">[11] Wu, H., Hu, T., Liu, Y., et al. (2023). TimesNet: Temporal 2D-Variation Modeling for General Time Series Analysis. ICLR.</w:t>
      </w:r>
    </w:p>
    <w:p w14:paraId="00100302" w14:textId="00100303">
      <w:pPr>
        <w:spacing w:after="80" w:line="276" w:lineRule="auto"/>
      </w:pPr>
      <w:r>
        <w:rPr>
          <w:rFonts w:ascii="Microsoft YaHei" w:hAnsi="Microsoft YaHei" w:eastAsia="Microsoft YaHei"/>
          <w:sz w:val="19"/>
        </w:rPr>
        <w:t xml:space="preserve">[12] PyTorch Documentation. LSTM and TransformerEncoder. https://pytorch.org/docs/stable/nn.html</w:t>
      </w:r>
    </w:p>
    <w:p w14:paraId="00100304" w14:textId="00100305">
      <w:pPr>
        <w:spacing w:after="80" w:line="276" w:lineRule="auto"/>
      </w:pPr>
      <w:r>
        <w:rPr>
          <w:rFonts w:ascii="Microsoft YaHei" w:hAnsi="Microsoft YaHei" w:eastAsia="Microsoft YaHei"/>
          <w:sz w:val="19"/>
        </w:rPr>
        <w:t xml:space="preserve">[13] scikit-learn Documentation. StandardScaler. https://scikit-learn.org/stable/modules/generated/sklearn.preprocessing.StandardScaler.html</w:t>
      </w:r>
    </w:p>
    <w:p w14:paraId="00100306" w14:textId="00100307">
      <w:pPr>
        <w:pStyle w:val="Heading1"/>
        <w:keepNext/>
        <w:shd w:val="clear" w:fill="EAF3F8"/>
        <w:spacing w:before="320" w:after="180"/>
      </w:pPr>
      <w:r>
        <w:rPr>
          <w:b/>
          <w:color w:val="17365D"/>
          <w:sz w:val="40"/>
        </w:rPr>
        <w:t xml:space="preserve">作者贡献与工具使用说明</w:t>
      </w:r>
    </w:p>
    <w:p w14:paraId="00100308" w14:textId="00100309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作者贡献与研究领域：本文由本人独立完成，主要贡献包括数据预处理、模型实现、实验设计、实验运行、结果分析与报告撰写。研究领域为机器学习与时间序列预测。</w:t>
      </w:r>
    </w:p>
    <w:p w14:paraId="0010030A" w14:textId="0010030B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工具使用说明：本报告由 AI 工具辅助整理语言、结构和 Word 排版；实验代码、指标、预测曲线和测试输出来自本项目本地运行结果。提交前应由作者人工核对所有数值、图表、参考文献和仓库链接。</w:t>
      </w:r>
    </w:p>
    <w:sectPr>
      <w:headerReference w:type="default" r:id="Rfc5fba2f700b47ff"/>
      <w:headerReference w:type="first" r:id="R30282ac72fc247c5"/>
      <w:footerReference w:type="default" r:id="Rb61096ed0b1f4379"/>
      <w:footerReference w:type="first" r:id="R4ef7eb9ee754440a"/>
      <w:pgSz w:w="11906" w:h="16838"/>
      <w:pgMar w:top="1304" w:right="1417" w:bottom="1247" w:left="1417"/>
      <w:titlePg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310" w14:textId="00100311">
    <w:pPr/>
    <w:r>
      <w:t xml:space="preserve"/>
    </w:r>
  </w:p>
</w:ftr>
</file>

<file path=word/footer2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312" w14:textId="00100313">
    <w:pPr>
      <w:jc w:val="center"/>
    </w:pPr>
    <w:r>
      <w:rPr>
        <w:rFonts w:ascii="Microsoft YaHei" w:hAnsi="Microsoft YaHei" w:eastAsia="Microsoft YaHei"/>
        <w:color w:val="666666"/>
        <w:sz w:val="18"/>
      </w:rPr>
      <w:t xml:space="preserve">第 </w:t>
    </w:r>
    <w:r>
      <w:rPr>
        <w:rFonts w:ascii="Microsoft YaHei" w:hAnsi="Microsoft YaHei" w:eastAsia="Microsoft YaHei"/>
        <w:color w:val="666666"/>
        <w:sz w:val="18"/>
      </w:rPr>
      <w:fldChar w:fldCharType="begin"/>
    </w:r>
    <w:r>
      <w:rPr>
        <w:rFonts w:ascii="Microsoft YaHei" w:hAnsi="Microsoft YaHei" w:eastAsia="Microsoft YaHei"/>
        <w:color w:val="666666"/>
        <w:sz w:val="18"/>
      </w:rPr>
      <w:instrText xml:space="preserve"> PAGE </w:instrText>
    </w:r>
    <w:r>
      <w:rPr>
        <w:rFonts w:ascii="Microsoft YaHei" w:hAnsi="Microsoft YaHei" w:eastAsia="Microsoft YaHei"/>
        <w:color w:val="666666"/>
        <w:sz w:val="18"/>
      </w:rPr>
      <w:fldChar w:fldCharType="separate"/>
    </w:r>
    <w:r>
      <w:rPr>
        <w:rFonts w:ascii="Microsoft YaHei" w:hAnsi="Microsoft YaHei" w:eastAsia="Microsoft YaHei"/>
        <w:color w:val="666666"/>
        <w:sz w:val="18"/>
      </w:rPr>
      <w:t xml:space="preserve">1</w:t>
    </w:r>
    <w:r>
      <w:rPr>
        <w:rFonts w:ascii="Microsoft YaHei" w:hAnsi="Microsoft YaHei" w:eastAsia="Microsoft YaHei"/>
        <w:color w:val="666666"/>
        <w:sz w:val="18"/>
      </w:rPr>
      <w:fldChar w:fldCharType="end"/>
    </w:r>
  </w:p>
</w:ftr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30C" w14:textId="0010030D">
    <w:pPr/>
    <w:r>
      <w:t xml:space="preserve"/>
    </w:r>
  </w:p>
</w:hdr>
</file>

<file path=word/header2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30E" w14:textId="0010030F">
    <w:pPr>
      <w:jc w:val="right"/>
    </w:pPr>
    <w:r>
      <w:rPr>
        <w:rFonts w:ascii="Microsoft YaHei" w:hAnsi="Microsoft YaHei" w:eastAsia="Microsoft YaHei"/>
        <w:color w:val="666666"/>
        <w:sz w:val="18"/>
      </w:rPr>
      <w:t xml:space="preserve">基于深度学习的家庭电力消耗多变量时间序列预测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324" w:lineRule="auto"/>
    </w:pPr>
    <w:rPr>
      <w:rFonts w:ascii="Microsoft YaHei" w:hAnsi="Microsoft YaHei" w:eastAsia="Microsoft YaHei"/>
      <w:sz w:val="22"/>
    </w:rPr>
  </w:style>
  <w:style w:type="paragraph" w:styleId="Heading1">
    <w:name w:val="Heading 1"/>
    <w:basedOn w:val="Normal"/>
    <w:qFormat/>
    <w:pPr>
      <w:outlineLvl xmlns:w="http://schemas.openxmlformats.org/wordprocessingml/2006/main" w:val="0"/>
    </w:pPr>
    <w:rPr>
      <w:rFonts w:ascii="Microsoft YaHei" w:hAnsi="Microsoft YaHei" w:eastAsia="Microsoft YaHei"/>
      <w:b/>
      <w:color w:val="17365D"/>
      <w:sz w:val="40"/>
    </w:rPr>
  </w:style>
  <w:style w:type="paragraph" w:styleId="Heading2">
    <w:name w:val="Heading 2"/>
    <w:basedOn w:val="Normal"/>
    <w:qFormat/>
    <w:pPr>
      <w:outlineLvl xmlns:w="http://schemas.openxmlformats.org/wordprocessingml/2006/main" w:val="1"/>
    </w:pPr>
    <w:rPr>
      <w:rFonts w:ascii="Microsoft YaHei" w:hAnsi="Microsoft YaHei" w:eastAsia="Microsoft YaHei"/>
      <w:b/>
      <w:color w:val="1F4E79"/>
      <w:sz w:val="28"/>
    </w:rPr>
  </w:style>
  <w:style w:type="paragraph" w:styleId="Heading3">
    <w:name w:val="Heading 3"/>
    <w:basedOn w:val="Normal"/>
    <w:qFormat/>
    <w:pPr>
      <w:outlineLvl xmlns:w="http://schemas.openxmlformats.org/wordprocessingml/2006/main" w:val="2"/>
    </w:pPr>
    <w:rPr>
      <w:rFonts w:ascii="Microsoft YaHei" w:hAnsi="Microsoft YaHei" w:eastAsia="Microsoft YaHei"/>
      <w:b/>
      <w:color w:val="17365D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2a33e90916a410e" /><Relationship Type="http://schemas.openxmlformats.org/officeDocument/2006/relationships/styles" Target="/word/styles.xml" Id="R82583ae1bd6d44dd" /><Relationship Type="http://schemas.openxmlformats.org/officeDocument/2006/relationships/theme" Target="/word/theme/theme1.xml" Id="R23da25ce777c4131" /><Relationship Type="http://schemas.openxmlformats.org/officeDocument/2006/relationships/numbering" Target="/word/numbering.xml" Id="Rf4cc28ebfd3740cb" /><Relationship Type="http://schemas.openxmlformats.org/officeDocument/2006/relationships/image" Target="/media/image.png" Id="Ra63a04059e794be8" /><Relationship Type="http://schemas.openxmlformats.org/officeDocument/2006/relationships/image" Target="/media/image2.png" Id="Re1b0b92fdea14446" /><Relationship Type="http://schemas.openxmlformats.org/officeDocument/2006/relationships/image" Target="/media/image3.png" Id="Rca90e7dcb47c4cf4" /><Relationship Type="http://schemas.openxmlformats.org/officeDocument/2006/relationships/image" Target="/media/image4.png" Id="R3573cdcf184d4a9b" /><Relationship Type="http://schemas.openxmlformats.org/officeDocument/2006/relationships/image" Target="/media/image5.png" Id="Re47509907f854a1b" /><Relationship Type="http://schemas.openxmlformats.org/officeDocument/2006/relationships/image" Target="/media/image6.png" Id="R5c83b62780154ebe" /><Relationship Type="http://schemas.openxmlformats.org/officeDocument/2006/relationships/image" Target="/media/image7.png" Id="Rb69b712df6954704" /><Relationship Type="http://schemas.openxmlformats.org/officeDocument/2006/relationships/image" Target="/media/image8.png" Id="R2036995dc7c04165" /><Relationship Type="http://schemas.openxmlformats.org/officeDocument/2006/relationships/image" Target="/media/image9.png" Id="R2712344dc4dd45d9" /><Relationship Type="http://schemas.openxmlformats.org/officeDocument/2006/relationships/image" Target="/media/image10.png" Id="Rb155ce37e9df4b30" /><Relationship Type="http://schemas.openxmlformats.org/officeDocument/2006/relationships/image" Target="/media/image11.png" Id="Rd383dc0ac7234ad5" /><Relationship Type="http://schemas.openxmlformats.org/officeDocument/2006/relationships/image" Target="/media/image12.png" Id="R5728661765574d2a" /><Relationship Type="http://schemas.openxmlformats.org/officeDocument/2006/relationships/image" Target="/media/image13.png" Id="R4a15b4f44a7f46ed" /><Relationship Type="http://schemas.openxmlformats.org/officeDocument/2006/relationships/header" Target="/word/header1.xml" Id="R30282ac72fc247c5" /><Relationship Type="http://schemas.openxmlformats.org/officeDocument/2006/relationships/header" Target="/word/header2.xml" Id="Rfc5fba2f700b47ff" /><Relationship Type="http://schemas.openxmlformats.org/officeDocument/2006/relationships/footer" Target="/word/footer1.xml" Id="R4ef7eb9ee754440a" /><Relationship Type="http://schemas.openxmlformats.org/officeDocument/2006/relationships/footer" Target="/word/footer2.xml" Id="Rb61096ed0b1f437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2026-06-29T13:20:14Z</dcterms:created>
  <cp:lastModifiedBy>OfficeCLI</cp:lastModifiedBy>
  <dcterms:modified xsi:type="dcterms:W3CDTF">2026-06-29T13:20:14Z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1.0.125</vt:lpwstr>
  </op:property>
  <op:property fmtid="{D5CDD505-2E9C-101B-9397-08002B2CF9AE}" pid="3" name="OfficeCLI.LastModified">
    <vt:lpwstr xmlns:vt="http://schemas.openxmlformats.org/officeDocument/2006/docPropsVTypes">2026-06-29T13:24:15Z</vt:lpwstr>
  </op:property>
</op:Properties>
</file>