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bookmarkEnd w:id="0"/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77BFCF98"/>
    <w:rsid w:val="7DF59F0D"/>
    <w:rsid w:val="7FBF5F8E"/>
    <w:rsid w:val="7FFF2871"/>
    <w:rsid w:val="93F36B41"/>
    <w:rsid w:val="A3F36F8D"/>
    <w:rsid w:val="AEFBB80E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2022-10-30T18:56:00Z</dcterms:created>
  <dc:creator>繁星、似梦</dc:creator>
  <cp:lastModifiedBy>繁星、似梦</cp:lastModifiedBy>
  <dcterms:modified xsi:type="dcterms:W3CDTF">2022-10-30T10:28:30Z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335CBA00F7399436C5445B638E743CE9</vt:lpwstr>
  </property>
</Properties>
</file>