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FF2DF7">
      <w:pPr>
        <w:bidi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The sample calculation of the CPLIP model in the benchmark stage</w:t>
      </w:r>
    </w:p>
    <w:p w14:paraId="764C51A9">
      <w:pPr>
        <w:bidi w:val="0"/>
        <w:rPr>
          <w:sz w:val="28"/>
          <w:szCs w:val="28"/>
        </w:rPr>
      </w:pPr>
    </w:p>
    <w:p w14:paraId="175A25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 xml:space="preserve">This is a </w:t>
      </w:r>
      <w:r>
        <w:rPr>
          <w:rFonts w:hint="eastAsia"/>
          <w:b/>
          <w:bCs/>
          <w:sz w:val="28"/>
          <w:szCs w:val="28"/>
        </w:rPr>
        <w:t xml:space="preserve">retrospective cohort study </w:t>
      </w:r>
      <w:r>
        <w:rPr>
          <w:rFonts w:hint="eastAsia"/>
          <w:sz w:val="28"/>
          <w:szCs w:val="28"/>
        </w:rPr>
        <w:t>of patients with oral potentially malignant disorders (OPMDs) with a</w:t>
      </w:r>
      <w:r>
        <w:rPr>
          <w:rFonts w:hint="eastAsia"/>
          <w:sz w:val="28"/>
          <w:szCs w:val="28"/>
          <w:lang w:val="en-US" w:eastAsia="zh-CN"/>
        </w:rPr>
        <w:t xml:space="preserve"> </w:t>
      </w:r>
      <w:r>
        <w:rPr>
          <w:rFonts w:hint="eastAsia"/>
          <w:b/>
          <w:bCs/>
          <w:sz w:val="28"/>
          <w:szCs w:val="28"/>
        </w:rPr>
        <w:t>36-month</w:t>
      </w:r>
      <w:r>
        <w:rPr>
          <w:rFonts w:hint="eastAsia"/>
          <w:sz w:val="28"/>
          <w:szCs w:val="28"/>
        </w:rPr>
        <w:t xml:space="preserve"> follow-up window from the index diagnostic biopsy/WSI. We use a CPLIP-based risk model to classify patients</w:t>
      </w:r>
      <w:r>
        <w:rPr>
          <w:rFonts w:hint="eastAsia"/>
          <w:b/>
          <w:bCs/>
          <w:sz w:val="28"/>
          <w:szCs w:val="28"/>
        </w:rPr>
        <w:t xml:space="preserve"> at baseline</w:t>
      </w:r>
      <w:r>
        <w:rPr>
          <w:rFonts w:hint="eastAsia"/>
          <w:sz w:val="28"/>
          <w:szCs w:val="28"/>
        </w:rPr>
        <w:t xml:space="preserve"> as high risk or low risk.</w:t>
      </w:r>
      <w:r>
        <w:rPr>
          <w:rFonts w:hint="eastAsia"/>
          <w:sz w:val="28"/>
          <w:szCs w:val="28"/>
          <w:lang w:val="en-US" w:eastAsia="zh-CN"/>
        </w:rPr>
        <w:t xml:space="preserve"> </w:t>
      </w:r>
    </w:p>
    <w:p w14:paraId="31D0DA21">
      <w:pPr>
        <w:rPr>
          <w:rFonts w:hint="eastAsia"/>
          <w:sz w:val="28"/>
          <w:szCs w:val="28"/>
          <w:lang w:val="en-US" w:eastAsia="zh-CN"/>
        </w:rPr>
      </w:pPr>
    </w:p>
    <w:p w14:paraId="6C8E54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 xml:space="preserve">The outcome is malignant transformation to oral cancer within 36 months, confirmed by biopsy. For validation, the 36-month biopsy-confirmed outcome serves as the </w:t>
      </w:r>
      <w:r>
        <w:rPr>
          <w:rFonts w:hint="eastAsia"/>
          <w:b/>
          <w:bCs/>
          <w:sz w:val="28"/>
          <w:szCs w:val="28"/>
        </w:rPr>
        <w:t>ground truth</w:t>
      </w:r>
      <w:r>
        <w:rPr>
          <w:rFonts w:hint="eastAsia"/>
          <w:sz w:val="28"/>
          <w:szCs w:val="28"/>
        </w:rPr>
        <w:t xml:space="preserve">, and we evaluate performance at the </w:t>
      </w:r>
      <w:r>
        <w:rPr>
          <w:rFonts w:hint="eastAsia"/>
          <w:b/>
          <w:bCs/>
          <w:sz w:val="28"/>
          <w:szCs w:val="28"/>
        </w:rPr>
        <w:t>patient level</w:t>
      </w:r>
      <w:r>
        <w:rPr>
          <w:rFonts w:hint="eastAsia"/>
          <w:sz w:val="28"/>
          <w:szCs w:val="28"/>
          <w:lang w:val="en-US" w:eastAsia="zh-CN"/>
        </w:rPr>
        <w:t>.</w:t>
      </w:r>
    </w:p>
    <w:p w14:paraId="709A7AB7">
      <w:pPr>
        <w:rPr>
          <w:rFonts w:hint="eastAsia"/>
          <w:sz w:val="28"/>
          <w:szCs w:val="28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0"/>
        <w:gridCol w:w="2840"/>
      </w:tblGrid>
      <w:tr w14:paraId="0C37A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5C77AD36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840" w:type="dxa"/>
          </w:tcPr>
          <w:p w14:paraId="0EE684C1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No Progression</w:t>
            </w:r>
          </w:p>
        </w:tc>
        <w:tc>
          <w:tcPr>
            <w:tcW w:w="2840" w:type="dxa"/>
          </w:tcPr>
          <w:p w14:paraId="5979A846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Progression</w:t>
            </w:r>
          </w:p>
        </w:tc>
      </w:tr>
      <w:tr w14:paraId="56AA8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2F4AB270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Low-Risk</w:t>
            </w:r>
          </w:p>
        </w:tc>
        <w:tc>
          <w:tcPr>
            <w:tcW w:w="2840" w:type="dxa"/>
          </w:tcPr>
          <w:p w14:paraId="42BE3603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840" w:type="dxa"/>
          </w:tcPr>
          <w:p w14:paraId="709A4A0A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 w14:paraId="521B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0A654F4C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High-Risk</w:t>
            </w:r>
          </w:p>
        </w:tc>
        <w:tc>
          <w:tcPr>
            <w:tcW w:w="2840" w:type="dxa"/>
          </w:tcPr>
          <w:p w14:paraId="1A3F0AAB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2840" w:type="dxa"/>
          </w:tcPr>
          <w:p w14:paraId="60534F41">
            <w:pP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</w:p>
        </w:tc>
      </w:tr>
    </w:tbl>
    <w:p w14:paraId="45F21D23">
      <w:pPr>
        <w:rPr>
          <w:rFonts w:hint="eastAsia"/>
          <w:sz w:val="28"/>
          <w:szCs w:val="28"/>
          <w:lang w:val="en-US" w:eastAsia="zh-CN"/>
        </w:rPr>
      </w:pPr>
    </w:p>
    <w:p w14:paraId="401F166C">
      <w:pPr>
        <w:rPr>
          <w:rStyle w:val="6"/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5FA7F97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Overall, the malignant transformation rate across all OPMD groups was 7.9% (99% confidence interval [CI]</w:t>
      </w:r>
      <w:r>
        <w:rPr>
          <w:rFonts w:hint="eastAsia"/>
          <w:sz w:val="28"/>
          <w:szCs w:val="28"/>
          <w:lang w:val="en-US" w:eastAsia="zh-CN"/>
        </w:rPr>
        <w:t>,</w:t>
      </w:r>
      <w:r>
        <w:rPr>
          <w:rFonts w:hint="eastAsia"/>
          <w:sz w:val="28"/>
          <w:szCs w:val="28"/>
        </w:rPr>
        <w:t xml:space="preserve"> 4.9%-11.5%)</w:t>
      </w:r>
      <w:r>
        <w:rPr>
          <w:rFonts w:hint="eastAsia"/>
          <w:sz w:val="28"/>
          <w:szCs w:val="28"/>
          <w:vertAlign w:val="subscript"/>
        </w:rPr>
        <w:fldChar w:fldCharType="begin"/>
      </w:r>
      <w:r>
        <w:rPr>
          <w:rFonts w:hint="eastAsia"/>
          <w:sz w:val="28"/>
          <w:szCs w:val="28"/>
          <w:vertAlign w:val="subscript"/>
          <w:lang w:eastAsia="zh-CN"/>
        </w:rPr>
        <w:instrText xml:space="preserve"> ADDIN EN.CITE &lt;EndNote&gt;&lt;Cite&gt;&lt;Author&gt;Iocca&lt;/Author&gt;&lt;Year&gt;2020&lt;/Year&gt;&lt;RecNum&gt;49735&lt;/RecNum&gt;&lt;DisplayText&gt;(Iocca et al., 2020)&lt;/DisplayText&gt;&lt;record&gt;&lt;rec-number&gt;49735&lt;/rec-number&gt;&lt;foreign-keys&gt;&lt;key app="EN" db-id="009tvpxv0tedtjetzr15f0zqtwftsearawa2" timestamp="1756446121"&gt;49735&lt;/key&gt;&lt;/foreign-keys&gt;&lt;ref-type name="Journal Article"&gt;17&lt;/ref-type&gt;&lt;contributors&gt;&lt;authors&gt;&lt;author&gt;Iocca, Oreste&lt;/author&gt;&lt;author&gt;Sollecito, Thomas P&lt;/author&gt;&lt;author&gt;Alawi, Faizan&lt;/author&gt;&lt;author&gt;Weinstein, Gregory S&lt;/author&gt;&lt;author&gt;Newman, Jason G&lt;/author&gt;&lt;author&gt;De Virgilio, Armando&lt;/author&gt;&lt;author&gt;Di Maio, Pasquale&lt;/author&gt;&lt;author&gt;Spriano, Giuseppe&lt;/author&gt;&lt;author&gt;Pardiñas López, Simón&lt;/author&gt;&lt;author&gt;Shanti, Rabie M&lt;/author&gt;&lt;/authors&gt;&lt;/contributors&gt;&lt;titles&gt;&lt;title&gt;Potentially malignant disorders of the oral cavity and oral dysplasia: A systematic review and meta‐analysis of malignant transformation rate by subtype&lt;/title&gt;&lt;secondary-title&gt;Head &amp;amp; neck&lt;/secondary-title&gt;&lt;/titles&gt;&lt;periodical&gt;&lt;full-title&gt;Head &amp;amp; neck&lt;/full-title&gt;&lt;/periodical&gt;&lt;pages&gt;539-555&lt;/pages&gt;&lt;volume&gt;42&lt;/volume&gt;&lt;number&gt;3&lt;/number&gt;&lt;dates&gt;&lt;year&gt;2020&lt;/year&gt;&lt;/dates&gt;&lt;isbn&gt;1043-3074&lt;/isbn&gt;&lt;urls&gt;&lt;/urls&gt;&lt;/record&gt;&lt;/Cite&gt;&lt;/EndNote&gt;</w:instrText>
      </w:r>
      <w:r>
        <w:rPr>
          <w:rFonts w:hint="eastAsia"/>
          <w:sz w:val="28"/>
          <w:szCs w:val="28"/>
          <w:vertAlign w:val="subscript"/>
        </w:rPr>
        <w:fldChar w:fldCharType="separate"/>
      </w:r>
      <w:r>
        <w:rPr>
          <w:rFonts w:hint="eastAsia" w:asciiTheme="minorHAnsi" w:hAnsiTheme="minorHAnsi" w:eastAsiaTheme="minorEastAsia" w:cstheme="minorBidi"/>
          <w:sz w:val="28"/>
          <w:szCs w:val="28"/>
          <w:vertAlign w:val="subscript"/>
          <w:lang w:val="en-US" w:eastAsia="zh-CN" w:bidi="ar-SA"/>
        </w:rPr>
        <w:t>(Iocca et al., 2020)</w:t>
      </w:r>
      <w:r>
        <w:rPr>
          <w:rFonts w:hint="eastAsia"/>
          <w:sz w:val="28"/>
          <w:szCs w:val="28"/>
          <w:vertAlign w:val="subscript"/>
        </w:rPr>
        <w:fldChar w:fldCharType="end"/>
      </w:r>
      <w:r>
        <w:rPr>
          <w:rFonts w:hint="eastAsia"/>
          <w:sz w:val="28"/>
          <w:szCs w:val="28"/>
        </w:rPr>
        <w:t>.</w:t>
      </w:r>
      <w:r>
        <w:rPr>
          <w:rFonts w:hint="eastAsia"/>
          <w:sz w:val="28"/>
          <w:szCs w:val="28"/>
          <w:lang w:val="en-US" w:eastAsia="zh-CN"/>
        </w:rPr>
        <w:t xml:space="preserve"> </w:t>
      </w:r>
      <w:r>
        <w:rPr>
          <w:rFonts w:hint="eastAsia"/>
          <w:sz w:val="28"/>
          <w:szCs w:val="28"/>
        </w:rPr>
        <w:t>Splits are patient-level (no patient appears in more than one split).</w:t>
      </w:r>
      <w:r>
        <w:rPr>
          <w:rFonts w:hint="eastAsia"/>
          <w:sz w:val="28"/>
          <w:szCs w:val="28"/>
          <w:lang w:val="en-US" w:eastAsia="zh-CN"/>
        </w:rPr>
        <w:t xml:space="preserve"> </w:t>
      </w:r>
    </w:p>
    <w:p w14:paraId="66EB4E30">
      <w:pPr>
        <w:rPr>
          <w:rFonts w:hint="eastAsia"/>
          <w:sz w:val="28"/>
          <w:szCs w:val="28"/>
          <w:lang w:val="en-US" w:eastAsia="zh-CN"/>
        </w:rPr>
      </w:pPr>
    </w:p>
    <w:p w14:paraId="3CFC8AAA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How many patients to collect for the benchmark</w:t>
      </w:r>
    </w:p>
    <w:p w14:paraId="3D55C2AD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Use the planning rule: patients = target events ÷ event rate</w:t>
      </w:r>
    </w:p>
    <w:p w14:paraId="6F7C1659">
      <w:pPr>
        <w:rPr>
          <w:rFonts w:hint="default" w:ascii="Calibri" w:hAnsi="Calibri" w:cs="Calibri"/>
          <w:sz w:val="28"/>
          <w:szCs w:val="28"/>
        </w:rPr>
      </w:pPr>
    </w:p>
    <w:p w14:paraId="7A17CCB4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·</w:t>
      </w:r>
      <w:r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 w:cs="Calibri"/>
          <w:sz w:val="28"/>
          <w:szCs w:val="28"/>
        </w:rPr>
        <w:t>To target ≈100 events (a solid benchmark for pooled 5-fold CV):</w:t>
      </w:r>
    </w:p>
    <w:p w14:paraId="34C37BC2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N=100/0.079=1,265.8→ ~</w:t>
      </w:r>
      <w:r>
        <w:rPr>
          <w:rFonts w:hint="default" w:ascii="Calibri" w:hAnsi="Calibri" w:cs="Calibri"/>
          <w:b/>
          <w:bCs/>
          <w:sz w:val="28"/>
          <w:szCs w:val="28"/>
        </w:rPr>
        <w:t>1,300 patients</w:t>
      </w:r>
      <w:r>
        <w:rPr>
          <w:rFonts w:hint="default" w:ascii="Calibri" w:hAnsi="Calibri" w:cs="Calibri"/>
          <w:sz w:val="28"/>
          <w:szCs w:val="28"/>
        </w:rPr>
        <w:t xml:space="preserve"> (expected ≈103 events).</w:t>
      </w:r>
    </w:p>
    <w:p w14:paraId="36C6EAEB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This gives ≈2</w:t>
      </w:r>
      <w:r>
        <w:rPr>
          <w:rFonts w:hint="eastAsia" w:ascii="Calibri" w:hAnsi="Calibri" w:cs="Calibri"/>
          <w:sz w:val="28"/>
          <w:szCs w:val="28"/>
          <w:lang w:val="en-US" w:eastAsia="zh-CN"/>
        </w:rPr>
        <w:t>1</w:t>
      </w:r>
      <w:r>
        <w:rPr>
          <w:rFonts w:hint="default" w:ascii="Calibri" w:hAnsi="Calibri" w:cs="Calibri"/>
          <w:sz w:val="28"/>
          <w:szCs w:val="28"/>
        </w:rPr>
        <w:t xml:space="preserve"> events per fold in 5-fold CV.</w:t>
      </w:r>
    </w:p>
    <w:p w14:paraId="6C329F27">
      <w:pPr>
        <w:rPr>
          <w:rFonts w:hint="default" w:ascii="Calibri" w:hAnsi="Calibri" w:cs="Calibri"/>
          <w:sz w:val="28"/>
          <w:szCs w:val="28"/>
        </w:rPr>
      </w:pPr>
    </w:p>
    <w:p w14:paraId="513AFA18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·</w:t>
      </w:r>
      <w:r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 w:cs="Calibri"/>
          <w:sz w:val="28"/>
          <w:szCs w:val="28"/>
        </w:rPr>
        <w:t xml:space="preserve">Add buffer for missing outcomes (e.g., </w:t>
      </w:r>
      <w:r>
        <w:rPr>
          <w:rFonts w:hint="default" w:ascii="Calibri" w:hAnsi="Calibri" w:cs="Calibri"/>
          <w:b/>
          <w:bCs/>
          <w:sz w:val="28"/>
          <w:szCs w:val="28"/>
        </w:rPr>
        <w:t xml:space="preserve">10% loss </w:t>
      </w:r>
      <w:r>
        <w:rPr>
          <w:rFonts w:hint="default" w:ascii="Calibri" w:hAnsi="Calibri" w:cs="Calibri"/>
          <w:sz w:val="28"/>
          <w:szCs w:val="28"/>
        </w:rPr>
        <w:t>to follow-up):</w:t>
      </w:r>
    </w:p>
    <w:p w14:paraId="6F0C58FF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1,266/0.90≈ ~1,400</w:t>
      </w:r>
      <w:r>
        <w:rPr>
          <w:rFonts w:hint="eastAsia" w:ascii="Calibri" w:hAnsi="Calibri" w:cs="Calibri"/>
          <w:sz w:val="28"/>
          <w:szCs w:val="28"/>
          <w:lang w:val="en-US" w:eastAsia="zh-CN"/>
        </w:rPr>
        <w:t>-</w:t>
      </w:r>
      <w:r>
        <w:rPr>
          <w:rFonts w:hint="default" w:ascii="Calibri" w:hAnsi="Calibri" w:cs="Calibri"/>
          <w:sz w:val="28"/>
          <w:szCs w:val="28"/>
        </w:rPr>
        <w:t>1,450 patients.</w:t>
      </w:r>
    </w:p>
    <w:p w14:paraId="390303D0">
      <w:pPr>
        <w:rPr>
          <w:rFonts w:hint="default" w:ascii="Calibri" w:hAnsi="Calibri" w:cs="Calibri"/>
          <w:sz w:val="28"/>
          <w:szCs w:val="28"/>
        </w:rPr>
      </w:pPr>
    </w:p>
    <w:p w14:paraId="4BE1FAF0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·</w:t>
      </w:r>
      <w:r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 w:cs="Calibri"/>
          <w:sz w:val="28"/>
          <w:szCs w:val="28"/>
        </w:rPr>
        <w:t xml:space="preserve">If </w:t>
      </w:r>
      <w:r>
        <w:rPr>
          <w:rFonts w:hint="default" w:ascii="Calibri" w:hAnsi="Calibri" w:cs="Calibri"/>
          <w:sz w:val="28"/>
          <w:szCs w:val="28"/>
          <w:lang w:val="en-US" w:eastAsia="zh-CN"/>
        </w:rPr>
        <w:t xml:space="preserve">I </w:t>
      </w:r>
      <w:r>
        <w:rPr>
          <w:rFonts w:hint="default" w:ascii="Calibri" w:hAnsi="Calibri" w:cs="Calibri"/>
          <w:sz w:val="28"/>
          <w:szCs w:val="28"/>
        </w:rPr>
        <w:t>want to be conservative and plan against the lower bound of the rate (4.9%):</w:t>
      </w:r>
    </w:p>
    <w:p w14:paraId="67C76AC0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100/0.049≈2,041 → ~2,250 if </w:t>
      </w:r>
      <w:r>
        <w:rPr>
          <w:rFonts w:hint="eastAsia" w:ascii="Calibri" w:hAnsi="Calibri" w:cs="Calibri"/>
          <w:sz w:val="28"/>
          <w:szCs w:val="28"/>
          <w:lang w:val="en-US" w:eastAsia="zh-CN"/>
        </w:rPr>
        <w:t>I</w:t>
      </w:r>
      <w:r>
        <w:rPr>
          <w:rFonts w:hint="default" w:ascii="Calibri" w:hAnsi="Calibri" w:cs="Calibri"/>
          <w:sz w:val="28"/>
          <w:szCs w:val="28"/>
        </w:rPr>
        <w:t xml:space="preserve"> also allow 10% loss.</w:t>
      </w:r>
    </w:p>
    <w:p w14:paraId="2435693F">
      <w:pPr>
        <w:rPr>
          <w:rFonts w:hint="default" w:ascii="Calibri" w:hAnsi="Calibri" w:cs="Calibri"/>
          <w:sz w:val="28"/>
          <w:szCs w:val="28"/>
        </w:rPr>
      </w:pPr>
    </w:p>
    <w:p w14:paraId="06669777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·</w:t>
      </w:r>
      <w:r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 w:cs="Calibri"/>
          <w:sz w:val="28"/>
          <w:szCs w:val="28"/>
        </w:rPr>
        <w:t>Minimal pilot (pipeline shake-down): ~650 patients (~50 events).</w:t>
      </w:r>
    </w:p>
    <w:p w14:paraId="59F4F491">
      <w:pPr>
        <w:rPr>
          <w:rFonts w:hint="default" w:ascii="Calibri" w:hAnsi="Calibri" w:cs="Calibri"/>
          <w:sz w:val="28"/>
          <w:szCs w:val="28"/>
        </w:rPr>
      </w:pPr>
    </w:p>
    <w:p w14:paraId="3F3D64B8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·</w:t>
      </w:r>
      <w:r>
        <w:rPr>
          <w:rFonts w:hint="default" w:ascii="Calibri" w:hAnsi="Calibri" w:cs="Calibri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 w:cs="Calibri"/>
          <w:sz w:val="28"/>
          <w:szCs w:val="28"/>
        </w:rPr>
        <w:t>Tighter AUC CIs (≈±0.05): ~1,600</w:t>
      </w:r>
      <w:r>
        <w:rPr>
          <w:rFonts w:hint="eastAsia" w:ascii="Calibri" w:hAnsi="Calibri" w:cs="Calibri"/>
          <w:sz w:val="28"/>
          <w:szCs w:val="28"/>
          <w:lang w:val="en-US" w:eastAsia="zh-CN"/>
        </w:rPr>
        <w:t>-</w:t>
      </w:r>
      <w:bookmarkStart w:id="0" w:name="_GoBack"/>
      <w:bookmarkEnd w:id="0"/>
      <w:r>
        <w:rPr>
          <w:rFonts w:hint="default" w:ascii="Calibri" w:hAnsi="Calibri" w:cs="Calibri"/>
          <w:sz w:val="28"/>
          <w:szCs w:val="28"/>
        </w:rPr>
        <w:t>1,800 patients (≈125</w:t>
      </w:r>
      <w:r>
        <w:rPr>
          <w:rFonts w:hint="eastAsia" w:ascii="Calibri" w:hAnsi="Calibri" w:cs="Calibri"/>
          <w:sz w:val="28"/>
          <w:szCs w:val="28"/>
          <w:lang w:val="en-US" w:eastAsia="zh-CN"/>
        </w:rPr>
        <w:t>-</w:t>
      </w:r>
      <w:r>
        <w:rPr>
          <w:rFonts w:hint="default" w:ascii="Calibri" w:hAnsi="Calibri" w:cs="Calibri"/>
          <w:sz w:val="28"/>
          <w:szCs w:val="28"/>
        </w:rPr>
        <w:t>140 events).</w:t>
      </w:r>
    </w:p>
    <w:p w14:paraId="5B1AB9AB">
      <w:pPr>
        <w:rPr>
          <w:rFonts w:hint="default" w:ascii="Calibri" w:hAnsi="Calibri" w:cs="Calibri"/>
          <w:sz w:val="28"/>
          <w:szCs w:val="28"/>
        </w:rPr>
      </w:pPr>
    </w:p>
    <w:p w14:paraId="3236174D">
      <w:pPr>
        <w:rPr>
          <w:rFonts w:hint="default" w:ascii="Calibri" w:hAnsi="Calibri" w:cs="Calibri"/>
          <w:sz w:val="28"/>
          <w:szCs w:val="28"/>
        </w:rPr>
      </w:pPr>
    </w:p>
    <w:p w14:paraId="4A1F939D">
      <w:pPr>
        <w:pStyle w:val="5"/>
        <w:keepNext w:val="0"/>
        <w:keepLines w:val="0"/>
        <w:widowControl/>
        <w:suppressLineNumbers w:val="0"/>
        <w:rPr>
          <w:rFonts w:hint="default" w:ascii="Calibri" w:hAnsi="Calibri" w:cs="Calibri" w:eastAsiaTheme="minorEastAsia"/>
          <w:kern w:val="0"/>
          <w:sz w:val="28"/>
          <w:szCs w:val="28"/>
          <w:lang w:val="en-US" w:eastAsia="zh-CN" w:bidi="ar-SA"/>
        </w:rPr>
      </w:pPr>
      <w:r>
        <w:rPr>
          <w:rFonts w:hint="default" w:ascii="Calibri" w:hAnsi="Calibri" w:cs="Calibri" w:eastAsiaTheme="minorEastAsia"/>
          <w:b/>
          <w:bCs/>
          <w:kern w:val="0"/>
          <w:sz w:val="28"/>
          <w:szCs w:val="28"/>
          <w:lang w:val="en-US" w:eastAsia="zh-CN" w:bidi="ar-SA"/>
        </w:rPr>
        <w:t>·</w:t>
      </w:r>
      <w:r>
        <w:rPr>
          <w:rFonts w:hint="eastAsia" w:ascii="Calibri" w:hAnsi="Calibri" w:cs="Calibri" w:eastAsiaTheme="minorEastAsia"/>
          <w:b/>
          <w:bCs/>
          <w:kern w:val="0"/>
          <w:sz w:val="28"/>
          <w:szCs w:val="28"/>
          <w:lang w:val="en-US" w:eastAsia="zh-CN" w:bidi="ar-SA"/>
        </w:rPr>
        <w:t xml:space="preserve"> </w:t>
      </w:r>
      <w:r>
        <w:rPr>
          <w:rFonts w:hint="eastAsia" w:ascii="Calibri" w:hAnsi="Calibri" w:cs="Calibri" w:eastAsiaTheme="minorEastAsia"/>
          <w:kern w:val="0"/>
          <w:sz w:val="28"/>
          <w:szCs w:val="28"/>
          <w:lang w:val="en-US" w:eastAsia="zh-CN" w:bidi="ar-SA"/>
        </w:rPr>
        <w:t xml:space="preserve"> </w:t>
      </w:r>
      <w:r>
        <w:rPr>
          <w:rFonts w:hint="default" w:ascii="Calibri" w:hAnsi="Calibri" w:cs="Calibri" w:eastAsiaTheme="minorEastAsia"/>
          <w:kern w:val="0"/>
          <w:sz w:val="28"/>
          <w:szCs w:val="28"/>
          <w:lang w:val="en-US" w:eastAsia="zh-CN" w:bidi="ar-SA"/>
        </w:rPr>
        <w:t>Above the cutoff → label High-risk</w:t>
      </w:r>
    </w:p>
    <w:p w14:paraId="62F796D4">
      <w:pPr>
        <w:pStyle w:val="5"/>
        <w:keepNext w:val="0"/>
        <w:keepLines w:val="0"/>
        <w:widowControl/>
        <w:suppressLineNumbers w:val="0"/>
        <w:rPr>
          <w:rFonts w:hint="default" w:ascii="Calibri" w:hAnsi="Calibri" w:cs="Calibri" w:eastAsiaTheme="minorEastAsia"/>
          <w:kern w:val="0"/>
          <w:sz w:val="28"/>
          <w:szCs w:val="28"/>
          <w:lang w:val="en-US" w:eastAsia="zh-CN" w:bidi="ar-SA"/>
        </w:rPr>
      </w:pPr>
      <w:r>
        <w:rPr>
          <w:rFonts w:hint="default" w:ascii="Calibri" w:hAnsi="Calibri" w:cs="Calibri" w:eastAsiaTheme="minorEastAsia"/>
          <w:b/>
          <w:bCs/>
          <w:kern w:val="0"/>
          <w:sz w:val="28"/>
          <w:szCs w:val="28"/>
          <w:lang w:val="en-US" w:eastAsia="zh-CN" w:bidi="ar-SA"/>
        </w:rPr>
        <w:t>·</w:t>
      </w:r>
      <w:r>
        <w:rPr>
          <w:rFonts w:hint="eastAsia" w:ascii="Calibri" w:hAnsi="Calibri" w:cs="Calibri" w:eastAsiaTheme="minorEastAsia"/>
          <w:b/>
          <w:bCs/>
          <w:kern w:val="0"/>
          <w:sz w:val="28"/>
          <w:szCs w:val="28"/>
          <w:lang w:val="en-US" w:eastAsia="zh-CN" w:bidi="ar-SA"/>
        </w:rPr>
        <w:t xml:space="preserve">  </w:t>
      </w:r>
      <w:r>
        <w:rPr>
          <w:rFonts w:hint="eastAsia" w:ascii="Calibri" w:hAnsi="Calibri" w:cs="Calibri" w:eastAsiaTheme="minorEastAsia"/>
          <w:kern w:val="0"/>
          <w:sz w:val="28"/>
          <w:szCs w:val="28"/>
          <w:lang w:val="en-US" w:eastAsia="zh-CN" w:bidi="ar-SA"/>
        </w:rPr>
        <w:t xml:space="preserve"> </w:t>
      </w:r>
      <w:r>
        <w:rPr>
          <w:rFonts w:hint="default" w:ascii="Calibri" w:hAnsi="Calibri" w:cs="Calibri" w:eastAsiaTheme="minorEastAsia"/>
          <w:kern w:val="0"/>
          <w:sz w:val="28"/>
          <w:szCs w:val="28"/>
          <w:lang w:val="en-US" w:eastAsia="zh-CN" w:bidi="ar-SA"/>
        </w:rPr>
        <w:t>Below the cutoff → label Low-risk</w:t>
      </w:r>
    </w:p>
    <w:p w14:paraId="4B8FA7A3">
      <w:pP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</w:pPr>
      <w: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  <w:t xml:space="preserve">Assume </w:t>
      </w:r>
      <w:r>
        <w:rPr>
          <w:rFonts w:hint="eastAsia" w:ascii="Calibri" w:hAnsi="Calibri"/>
          <w:b/>
          <w:bCs/>
          <w:kern w:val="0"/>
          <w:sz w:val="28"/>
          <w:szCs w:val="28"/>
          <w:lang w:val="en-US" w:eastAsia="zh-CN"/>
        </w:rPr>
        <w:t>N</w:t>
      </w:r>
      <w:r>
        <w:rPr>
          <w:rFonts w:hint="default" w:ascii="Calibri" w:hAnsi="Calibri" w:eastAsiaTheme="minorEastAsia"/>
          <w:b/>
          <w:bCs/>
          <w:kern w:val="0"/>
          <w:sz w:val="28"/>
          <w:szCs w:val="28"/>
          <w:lang w:val="en-US" w:eastAsia="zh-CN"/>
        </w:rPr>
        <w:t>=1,300</w:t>
      </w:r>
      <w:r>
        <w:rPr>
          <w:rFonts w:hint="eastAsia" w:ascii="Calibri" w:hAnsi="Calibri"/>
          <w:b/>
          <w:bCs/>
          <w:kern w:val="0"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 w:eastAsiaTheme="minorEastAsia"/>
          <w:b/>
          <w:bCs/>
          <w:kern w:val="0"/>
          <w:sz w:val="28"/>
          <w:szCs w:val="28"/>
          <w:lang w:val="en-US" w:eastAsia="zh-CN"/>
        </w:rPr>
        <w:t>patients</w:t>
      </w:r>
      <w: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  <w:t xml:space="preserve"> and 7.9% will transform.</w:t>
      </w:r>
    </w:p>
    <w:p w14:paraId="129BE0E9">
      <w:pP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</w:pPr>
      <w:r>
        <w:rPr>
          <w:rFonts w:hint="eastAsia" w:ascii="Calibri" w:hAnsi="Calibri" w:eastAsiaTheme="minorEastAsia"/>
          <w:kern w:val="0"/>
          <w:sz w:val="28"/>
          <w:szCs w:val="28"/>
          <w:lang w:val="en-US" w:eastAsia="zh-CN"/>
        </w:rPr>
        <w:t>C</w:t>
      </w:r>
      <w: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  <w:t>hoose a cutoff that gives Sensitivity ≥ 0.90</w:t>
      </w:r>
    </w:p>
    <w:p w14:paraId="7C10AC8B">
      <w:pP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</w:pPr>
      <w: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  <w:t>→ expect about</w:t>
      </w:r>
      <w:r>
        <w:rPr>
          <w:rFonts w:hint="default" w:ascii="Calibri" w:hAnsi="Calibri" w:eastAsiaTheme="minorEastAsia"/>
          <w:b/>
          <w:bCs/>
          <w:kern w:val="0"/>
          <w:sz w:val="28"/>
          <w:szCs w:val="28"/>
          <w:lang w:val="en-US" w:eastAsia="zh-CN"/>
        </w:rPr>
        <w:t xml:space="preserve"> 570 high-risk</w:t>
      </w:r>
      <w: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  <w:t xml:space="preserve"> / </w:t>
      </w:r>
      <w:r>
        <w:rPr>
          <w:rFonts w:hint="default" w:ascii="Calibri" w:hAnsi="Calibri" w:eastAsiaTheme="minorEastAsia"/>
          <w:b/>
          <w:bCs/>
          <w:kern w:val="0"/>
          <w:sz w:val="28"/>
          <w:szCs w:val="28"/>
          <w:lang w:val="en-US" w:eastAsia="zh-CN"/>
        </w:rPr>
        <w:t>730 low-risk</w:t>
      </w:r>
      <w: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  <w:t xml:space="preserve"> (≈44% / 56%).</w:t>
      </w:r>
    </w:p>
    <w:p w14:paraId="1E066D19">
      <w:pPr>
        <w:rPr>
          <w:rFonts w:hint="default" w:ascii="Calibri" w:hAnsi="Calibri" w:eastAsiaTheme="minorEastAsia"/>
          <w:kern w:val="0"/>
          <w:sz w:val="28"/>
          <w:szCs w:val="28"/>
          <w:lang w:val="en-US" w:eastAsia="zh-CN"/>
        </w:rPr>
      </w:pPr>
    </w:p>
    <w:p w14:paraId="118D7C19">
      <w:pPr>
        <w:rPr>
          <w:rFonts w:hint="default" w:ascii="Calibri" w:hAnsi="Calibri" w:eastAsiaTheme="minorEastAsia"/>
          <w:b/>
          <w:bCs/>
          <w:kern w:val="0"/>
          <w:sz w:val="28"/>
          <w:szCs w:val="28"/>
          <w:lang w:val="en-US" w:eastAsia="zh-CN"/>
        </w:rPr>
      </w:pPr>
      <w:r>
        <w:rPr>
          <w:rFonts w:hint="default" w:ascii="Calibri" w:hAnsi="Calibri" w:eastAsiaTheme="minorEastAsia"/>
          <w:b/>
          <w:bCs/>
          <w:kern w:val="0"/>
          <w:sz w:val="28"/>
          <w:szCs w:val="28"/>
          <w:lang w:val="en-US" w:eastAsia="zh-CN"/>
        </w:rPr>
        <w:t>How to do this in 5-fold CV</w:t>
      </w:r>
    </w:p>
    <w:p w14:paraId="6527C95B">
      <w:pPr>
        <w:rPr>
          <w:rFonts w:hint="default" w:ascii="Calibri" w:hAnsi="Calibri"/>
          <w:sz w:val="28"/>
          <w:szCs w:val="28"/>
          <w:lang w:val="en-US" w:eastAsia="zh-CN"/>
        </w:rPr>
      </w:pPr>
      <w:r>
        <w:rPr>
          <w:rFonts w:hint="default" w:ascii="Calibri" w:hAnsi="Calibri"/>
          <w:sz w:val="28"/>
          <w:szCs w:val="28"/>
        </w:rPr>
        <w:t>In the 5-fold CV steps, the threshold is chosen inside the training data via inner validation (nested CV) to avoid leakage; then apply it to the held-out fold.</w:t>
      </w:r>
    </w:p>
    <w:p w14:paraId="30DE911A">
      <w:pPr>
        <w:rPr>
          <w:rFonts w:hint="default" w:ascii="Calibri" w:hAnsi="Calibri"/>
          <w:sz w:val="28"/>
          <w:szCs w:val="28"/>
        </w:rPr>
      </w:pPr>
      <w:r>
        <w:rPr>
          <w:rFonts w:hint="eastAsia" w:ascii="Calibri" w:hAnsi="Calibri"/>
          <w:b/>
          <w:bCs/>
          <w:sz w:val="24"/>
          <w:szCs w:val="24"/>
          <w:lang w:val="en-US" w:eastAsia="zh-CN"/>
        </w:rPr>
        <w:t>①</w:t>
      </w:r>
      <w:r>
        <w:rPr>
          <w:rFonts w:hint="default" w:ascii="Calibri" w:hAnsi="Calibri"/>
          <w:sz w:val="28"/>
          <w:szCs w:val="28"/>
        </w:rPr>
        <w:t>Split patients into 5 folds (patient-level, stratified).</w:t>
      </w:r>
    </w:p>
    <w:p w14:paraId="714D90F5">
      <w:pPr>
        <w:rPr>
          <w:rFonts w:hint="default" w:ascii="Calibri" w:hAnsi="Calibri"/>
          <w:sz w:val="28"/>
          <w:szCs w:val="28"/>
        </w:rPr>
      </w:pPr>
      <w:r>
        <w:rPr>
          <w:rFonts w:hint="eastAsia" w:ascii="Calibri" w:hAnsi="Calibri"/>
          <w:b/>
          <w:bCs/>
          <w:sz w:val="24"/>
          <w:szCs w:val="24"/>
          <w:lang w:val="en-US" w:eastAsia="zh-CN"/>
        </w:rPr>
        <w:t>②</w:t>
      </w:r>
      <w:r>
        <w:rPr>
          <w:rFonts w:hint="default" w:ascii="Calibri" w:hAnsi="Calibri"/>
          <w:sz w:val="28"/>
          <w:szCs w:val="28"/>
        </w:rPr>
        <w:t>For each fold, train on the other 4 folds.</w:t>
      </w:r>
    </w:p>
    <w:p w14:paraId="0147F262">
      <w:pPr>
        <w:rPr>
          <w:rFonts w:hint="default" w:ascii="Calibri" w:hAnsi="Calibri"/>
          <w:sz w:val="28"/>
          <w:szCs w:val="28"/>
        </w:rPr>
      </w:pPr>
      <w:r>
        <w:rPr>
          <w:rFonts w:hint="eastAsia" w:ascii="Calibri" w:hAnsi="Calibri"/>
          <w:b/>
          <w:bCs/>
          <w:sz w:val="24"/>
          <w:szCs w:val="24"/>
          <w:lang w:val="en-US" w:eastAsia="zh-CN"/>
        </w:rPr>
        <w:t>③</w:t>
      </w:r>
      <w:r>
        <w:rPr>
          <w:rFonts w:hint="default" w:ascii="Calibri" w:hAnsi="Calibri"/>
          <w:sz w:val="28"/>
          <w:szCs w:val="28"/>
        </w:rPr>
        <w:t>Choose the cutoff inside the training data (e.g., Sensitivity ≥ 0.90, then maximize Specificity).</w:t>
      </w:r>
    </w:p>
    <w:p w14:paraId="4511BA46">
      <w:pPr>
        <w:rPr>
          <w:rFonts w:hint="default" w:ascii="Calibri" w:hAnsi="Calibri"/>
          <w:sz w:val="28"/>
          <w:szCs w:val="28"/>
        </w:rPr>
      </w:pPr>
      <w:r>
        <w:rPr>
          <w:rFonts w:hint="eastAsia" w:ascii="Calibri" w:hAnsi="Calibri"/>
          <w:b/>
          <w:bCs/>
          <w:sz w:val="24"/>
          <w:szCs w:val="24"/>
          <w:lang w:val="en-US" w:eastAsia="zh-CN"/>
        </w:rPr>
        <w:t>④</w:t>
      </w:r>
      <w:r>
        <w:rPr>
          <w:rFonts w:hint="default" w:ascii="Calibri" w:hAnsi="Calibri"/>
          <w:sz w:val="28"/>
          <w:szCs w:val="28"/>
        </w:rPr>
        <w:t>Apply that cutoff to the held-out fold; record who is high/low.</w:t>
      </w:r>
    </w:p>
    <w:p w14:paraId="6DDE4A2A">
      <w:pPr>
        <w:rPr>
          <w:rFonts w:hint="default" w:ascii="Calibri" w:hAnsi="Calibri" w:cs="Calibri"/>
          <w:sz w:val="28"/>
          <w:szCs w:val="28"/>
        </w:rPr>
      </w:pPr>
      <w:r>
        <w:rPr>
          <w:rFonts w:hint="eastAsia" w:ascii="Calibri" w:hAnsi="Calibri"/>
          <w:b/>
          <w:bCs/>
          <w:sz w:val="24"/>
          <w:szCs w:val="24"/>
          <w:lang w:val="en-US" w:eastAsia="zh-CN"/>
        </w:rPr>
        <w:t>⑤</w:t>
      </w:r>
      <w:r>
        <w:rPr>
          <w:rFonts w:hint="default" w:ascii="Calibri" w:hAnsi="Calibri"/>
          <w:sz w:val="28"/>
          <w:szCs w:val="28"/>
        </w:rPr>
        <w:t>Pool all 5 held-out predictions to report final counts and metrics.</w:t>
      </w:r>
    </w:p>
    <w:p w14:paraId="03D0AA27">
      <w:pPr>
        <w:rPr>
          <w:rFonts w:hint="eastAsia"/>
          <w:sz w:val="28"/>
          <w:szCs w:val="28"/>
        </w:rPr>
      </w:pPr>
    </w:p>
    <w:p w14:paraId="49003A2F">
      <w:pPr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5-fold CV is better than 70:15:15</w:t>
      </w:r>
    </w:p>
    <w:p w14:paraId="32F9B84F">
      <w:pPr>
        <w:rPr>
          <w:rFonts w:hint="default" w:ascii="Calibri" w:hAnsi="Calibri"/>
          <w:sz w:val="28"/>
          <w:szCs w:val="28"/>
        </w:rPr>
      </w:pPr>
      <w:r>
        <w:rPr>
          <w:rFonts w:hint="default" w:ascii="Calibri" w:hAnsi="Calibri"/>
          <w:b/>
          <w:bCs/>
          <w:sz w:val="28"/>
          <w:szCs w:val="28"/>
        </w:rPr>
        <w:t>·</w:t>
      </w:r>
      <w:r>
        <w:rPr>
          <w:rFonts w:hint="default" w:ascii="Calibri" w:hAnsi="Calibri"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/>
          <w:sz w:val="28"/>
          <w:szCs w:val="28"/>
        </w:rPr>
        <w:t>More test signal. With N=1,300</w:t>
      </w:r>
      <w:r>
        <w:rPr>
          <w:rFonts w:hint="eastAsia" w:ascii="Calibri" w:hAnsi="Calibri"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/>
          <w:sz w:val="28"/>
          <w:szCs w:val="28"/>
        </w:rPr>
        <w:t>and 7.9% events:</w:t>
      </w:r>
    </w:p>
    <w:p w14:paraId="3083E304">
      <w:pPr>
        <w:rPr>
          <w:rFonts w:hint="eastAsia" w:ascii="Calibri" w:hAnsi="Calibri"/>
          <w:sz w:val="28"/>
          <w:szCs w:val="28"/>
          <w:lang w:val="en-US" w:eastAsia="zh-CN"/>
        </w:rPr>
      </w:pPr>
      <w:r>
        <w:rPr>
          <w:rFonts w:hint="eastAsia" w:ascii="Calibri" w:hAnsi="Calibri"/>
          <w:sz w:val="28"/>
          <w:szCs w:val="28"/>
          <w:lang w:val="en-US" w:eastAsia="zh-CN"/>
        </w:rPr>
        <w:t>70:15:15 → test has ~195 people → ~15 events.</w:t>
      </w:r>
    </w:p>
    <w:p w14:paraId="4BA52B06">
      <w:pPr>
        <w:rPr>
          <w:rFonts w:hint="eastAsia" w:ascii="Calibri" w:hAnsi="Calibri"/>
          <w:sz w:val="28"/>
          <w:szCs w:val="28"/>
          <w:lang w:val="en-US" w:eastAsia="zh-CN"/>
        </w:rPr>
      </w:pPr>
      <w:r>
        <w:rPr>
          <w:rFonts w:hint="eastAsia" w:ascii="Calibri" w:hAnsi="Calibri"/>
          <w:sz w:val="28"/>
          <w:szCs w:val="28"/>
          <w:lang w:val="en-US" w:eastAsia="zh-CN"/>
        </w:rPr>
        <w:t>5-fold CV → everyone is tested once → ~1,300 people → ~103 events.</w:t>
      </w:r>
    </w:p>
    <w:p w14:paraId="0964F2F5">
      <w:pPr>
        <w:rPr>
          <w:rFonts w:hint="eastAsia" w:ascii="Calibri" w:hAnsi="Calibri"/>
          <w:sz w:val="28"/>
          <w:szCs w:val="28"/>
          <w:lang w:val="en-US" w:eastAsia="zh-CN"/>
        </w:rPr>
      </w:pPr>
      <w:r>
        <w:rPr>
          <w:rFonts w:hint="eastAsia" w:ascii="Calibri" w:hAnsi="Calibri"/>
          <w:sz w:val="28"/>
          <w:szCs w:val="28"/>
          <w:lang w:val="en-US" w:eastAsia="zh-CN"/>
        </w:rPr>
        <w:t>More events = tighter, more trustworthy metrics.</w:t>
      </w:r>
    </w:p>
    <w:p w14:paraId="100033A6">
      <w:pPr>
        <w:rPr>
          <w:rFonts w:hint="default" w:ascii="Calibri" w:hAnsi="Calibri"/>
          <w:sz w:val="28"/>
          <w:szCs w:val="28"/>
          <w:lang w:val="en-US" w:eastAsia="zh-CN"/>
        </w:rPr>
      </w:pPr>
      <w:r>
        <w:rPr>
          <w:rFonts w:hint="default" w:ascii="Calibri" w:hAnsi="Calibri"/>
          <w:sz w:val="28"/>
          <w:szCs w:val="28"/>
        </w:rPr>
        <w:t>·</w:t>
      </w:r>
      <w:r>
        <w:rPr>
          <w:rFonts w:hint="default" w:ascii="Calibri" w:hAnsi="Calibri"/>
          <w:sz w:val="28"/>
          <w:szCs w:val="28"/>
          <w:lang w:val="en-US" w:eastAsia="zh-CN"/>
        </w:rPr>
        <w:t xml:space="preserve"> </w:t>
      </w:r>
      <w:r>
        <w:rPr>
          <w:rFonts w:hint="default" w:ascii="Calibri" w:hAnsi="Calibri"/>
          <w:sz w:val="28"/>
          <w:szCs w:val="28"/>
        </w:rPr>
        <w:t>Better training. Each CV model trains on ~80% of the data (vs 70%), so it learns more.</w:t>
      </w:r>
    </w:p>
    <w:p w14:paraId="3CC0FA0A">
      <w:pPr>
        <w:rPr>
          <w:rFonts w:hint="default" w:ascii="Calibri" w:hAnsi="Calibri"/>
          <w:sz w:val="28"/>
          <w:szCs w:val="28"/>
          <w:lang w:val="en-US" w:eastAsia="zh-CN"/>
        </w:rPr>
      </w:pPr>
      <w:r>
        <w:rPr>
          <w:rFonts w:hint="default" w:ascii="Calibri" w:hAnsi="Calibri"/>
          <w:sz w:val="28"/>
          <w:szCs w:val="28"/>
        </w:rPr>
        <w:t>·</w:t>
      </w:r>
      <w:r>
        <w:rPr>
          <w:rFonts w:hint="default" w:ascii="Calibri" w:hAnsi="Calibri"/>
          <w:sz w:val="28"/>
          <w:szCs w:val="28"/>
          <w:lang w:val="en-US" w:eastAsia="zh-CN"/>
        </w:rPr>
        <w:t xml:space="preserve"> Less luck. CV averages over 5 different test folds, not one lucky/unlucky split.</w:t>
      </w:r>
    </w:p>
    <w:p w14:paraId="24C2767F">
      <w:pPr>
        <w:rPr>
          <w:rFonts w:hint="eastAsia" w:ascii="Calibri" w:hAnsi="Calibri"/>
          <w:sz w:val="28"/>
          <w:szCs w:val="28"/>
          <w:lang w:val="en-US" w:eastAsia="zh-CN"/>
        </w:rPr>
      </w:pPr>
      <w:r>
        <w:rPr>
          <w:rFonts w:hint="default" w:ascii="Calibri" w:hAnsi="Calibri"/>
          <w:sz w:val="28"/>
          <w:szCs w:val="28"/>
        </w:rPr>
        <w:t>·</w:t>
      </w:r>
      <w:r>
        <w:rPr>
          <w:rFonts w:hint="default" w:ascii="Calibri" w:hAnsi="Calibri"/>
          <w:sz w:val="28"/>
          <w:szCs w:val="28"/>
          <w:lang w:val="en-US" w:eastAsia="zh-CN"/>
        </w:rPr>
        <w:t xml:space="preserve"> Practicality. To get ~100 test events with a 15% test set, </w:t>
      </w:r>
      <w:r>
        <w:rPr>
          <w:rFonts w:hint="eastAsia" w:ascii="Calibri" w:hAnsi="Calibri"/>
          <w:sz w:val="28"/>
          <w:szCs w:val="28"/>
          <w:lang w:val="en-US" w:eastAsia="zh-CN"/>
        </w:rPr>
        <w:t>I</w:t>
      </w:r>
      <w:r>
        <w:rPr>
          <w:rFonts w:hint="default" w:ascii="Calibri" w:hAnsi="Calibri"/>
          <w:sz w:val="28"/>
          <w:szCs w:val="28"/>
          <w:lang w:val="en-US" w:eastAsia="zh-CN"/>
        </w:rPr>
        <w:t>’d need ~8,440 total patients. CV gives ~100 test events now by pooling the 5 folds.</w:t>
      </w:r>
    </w:p>
    <w:p w14:paraId="3490AE31">
      <w:pPr>
        <w:rPr>
          <w:rFonts w:hint="eastAsia"/>
          <w:sz w:val="28"/>
          <w:szCs w:val="28"/>
          <w:lang w:val="en-US" w:eastAsia="zh-CN"/>
        </w:rPr>
      </w:pPr>
    </w:p>
    <w:p w14:paraId="3DC45787">
      <w:pPr>
        <w:rPr>
          <w:rFonts w:hint="eastAsia"/>
          <w:sz w:val="28"/>
          <w:szCs w:val="28"/>
          <w:lang w:val="en-US" w:eastAsia="zh-CN"/>
        </w:rPr>
      </w:pPr>
    </w:p>
    <w:p w14:paraId="38C3F3A6">
      <w:pPr>
        <w:rPr>
          <w:rFonts w:hint="eastAsia"/>
          <w:sz w:val="28"/>
          <w:szCs w:val="28"/>
          <w:lang w:val="en-US" w:eastAsia="zh-CN"/>
        </w:rPr>
      </w:pPr>
    </w:p>
    <w:p w14:paraId="381F5300">
      <w:pPr>
        <w:rPr>
          <w:rFonts w:hint="eastAsia"/>
          <w:sz w:val="28"/>
          <w:szCs w:val="28"/>
          <w:lang w:val="en-US" w:eastAsia="zh-CN"/>
        </w:rPr>
      </w:pPr>
    </w:p>
    <w:p w14:paraId="0B770B52">
      <w:pPr>
        <w:pStyle w:val="9"/>
        <w:bidi w:val="0"/>
        <w:ind w:left="720" w:hanging="720"/>
        <w:rPr>
          <w:rFonts w:ascii="Calibri" w:hAnsi="Calibri" w:cs="Calibri" w:eastAsiaTheme="minorEastAsia"/>
          <w:lang w:val="en-US" w:eastAsia="zh-CN" w:bidi="ar-SA"/>
        </w:rPr>
      </w:pPr>
      <w:r>
        <w:rPr>
          <w:rFonts w:hint="eastAsia"/>
          <w:sz w:val="28"/>
          <w:szCs w:val="28"/>
          <w:lang w:val="en-US" w:eastAsia="zh-CN"/>
        </w:rPr>
        <w:fldChar w:fldCharType="begin"/>
      </w:r>
      <w:r>
        <w:rPr>
          <w:rFonts w:hint="eastAsia"/>
          <w:sz w:val="28"/>
          <w:szCs w:val="28"/>
          <w:lang w:val="en-US" w:eastAsia="zh-CN"/>
        </w:rPr>
        <w:instrText xml:space="preserve"> ADDIN EN.REFLIST </w:instrText>
      </w:r>
      <w:r>
        <w:rPr>
          <w:rFonts w:hint="eastAsia"/>
          <w:sz w:val="28"/>
          <w:szCs w:val="28"/>
          <w:lang w:val="en-US" w:eastAsia="zh-CN"/>
        </w:rPr>
        <w:fldChar w:fldCharType="separate"/>
      </w:r>
      <w:r>
        <w:rPr>
          <w:rFonts w:ascii="Calibri" w:hAnsi="Calibri" w:cs="Calibri" w:eastAsiaTheme="minorEastAsia"/>
          <w:lang w:val="en-US" w:eastAsia="zh-CN" w:bidi="ar-SA"/>
        </w:rPr>
        <w:t xml:space="preserve">Iocca, O., Sollecito, T. P., Alawi, F., Weinstein, G. S., Newman, J. G., De Virgilio, A., Di Maio, P., Spriano, G., Pardiñas López, S., &amp; Shanti, R. M. (2020). Potentially malignant disorders of the oral cavity and oral dysplasia: A systematic review and meta‐analysis of malignant transformation rate by subtype. </w:t>
      </w:r>
      <w:r>
        <w:rPr>
          <w:rFonts w:ascii="Calibri" w:hAnsi="Calibri" w:cs="Calibri" w:eastAsiaTheme="minorEastAsia"/>
          <w:i/>
          <w:lang w:val="en-US" w:eastAsia="zh-CN" w:bidi="ar-SA"/>
        </w:rPr>
        <w:t>Head &amp; neck</w:t>
      </w:r>
      <w:r>
        <w:rPr>
          <w:rFonts w:ascii="Calibri" w:hAnsi="Calibri" w:cs="Calibri" w:eastAsiaTheme="minorEastAsia"/>
          <w:lang w:val="en-US" w:eastAsia="zh-CN" w:bidi="ar-SA"/>
        </w:rPr>
        <w:t>,</w:t>
      </w:r>
      <w:r>
        <w:rPr>
          <w:rFonts w:ascii="Calibri" w:hAnsi="Calibri" w:cs="Calibri" w:eastAsiaTheme="minorEastAsia"/>
          <w:i/>
          <w:lang w:val="en-US" w:eastAsia="zh-CN" w:bidi="ar-SA"/>
        </w:rPr>
        <w:t xml:space="preserve"> 42</w:t>
      </w:r>
      <w:r>
        <w:rPr>
          <w:rFonts w:ascii="Calibri" w:hAnsi="Calibri" w:cs="Calibri" w:eastAsiaTheme="minorEastAsia"/>
          <w:lang w:val="en-US" w:eastAsia="zh-CN" w:bidi="ar-SA"/>
        </w:rPr>
        <w:t xml:space="preserve">(3), 539-555. </w:t>
      </w:r>
    </w:p>
    <w:p w14:paraId="275219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PA 7th&lt;/Style&gt;&lt;LeftDelim&gt;{&lt;/LeftDelim&gt;&lt;RightDelim&gt;}&lt;/RightDelim&gt;&lt;FontName&gt;Calibri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009tvpxv0tedtjetzr15f0zqtwftsearawa2&quot;&gt;My EndNote Library&lt;record-ids&gt;&lt;item&gt;49735&lt;/item&gt;&lt;/record-ids&gt;&lt;/item&gt;&lt;/Libraries&gt;"/>
  </w:docVars>
  <w:rsids>
    <w:rsidRoot w:val="00000000"/>
    <w:rsid w:val="01734A71"/>
    <w:rsid w:val="0972338D"/>
    <w:rsid w:val="0F005E1D"/>
    <w:rsid w:val="17B27858"/>
    <w:rsid w:val="3AF73840"/>
    <w:rsid w:val="3D8D000C"/>
    <w:rsid w:val="4FB11640"/>
    <w:rsid w:val="505C355C"/>
    <w:rsid w:val="6C030941"/>
    <w:rsid w:val="7BE11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  <w:style w:type="table" w:styleId="7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EndNote Bibliography Title"/>
    <w:uiPriority w:val="0"/>
    <w:pPr>
      <w:pBdr>
        <w:top w:val="none" w:color="auto" w:sz="8" w:space="0"/>
        <w:left w:val="none" w:color="auto" w:sz="8" w:space="0"/>
        <w:bottom w:val="none" w:color="auto" w:sz="8" w:space="0"/>
        <w:right w:val="none" w:color="auto" w:sz="8" w:space="0"/>
        <w:between w:val="none" w:color="auto" w:sz="8" w:space="0"/>
      </w:pBdr>
      <w:jc w:val="center"/>
    </w:pPr>
    <w:rPr>
      <w:rFonts w:ascii="Calibri" w:hAnsi="Calibri" w:cs="Calibri" w:eastAsiaTheme="minorEastAsia"/>
      <w:lang w:val="en-US" w:eastAsia="zh-CN" w:bidi="ar-SA"/>
    </w:rPr>
  </w:style>
  <w:style w:type="paragraph" w:customStyle="1" w:styleId="9">
    <w:name w:val="EndNote Bibliography"/>
    <w:uiPriority w:val="0"/>
    <w:pPr>
      <w:pBdr>
        <w:top w:val="none" w:color="auto" w:sz="8" w:space="0"/>
        <w:left w:val="none" w:color="auto" w:sz="8" w:space="0"/>
        <w:bottom w:val="none" w:color="auto" w:sz="8" w:space="0"/>
        <w:right w:val="none" w:color="auto" w:sz="8" w:space="0"/>
        <w:between w:val="none" w:color="auto" w:sz="8" w:space="0"/>
      </w:pBdr>
    </w:pPr>
    <w:rPr>
      <w:rFonts w:ascii="Calibri" w:hAnsi="Calibri" w:cs="Calibri" w:eastAsiaTheme="minorEastAsia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515</Words>
  <Characters>2605</Characters>
  <Lines>0</Lines>
  <Paragraphs>0</Paragraphs>
  <TotalTime>51</TotalTime>
  <ScaleCrop>false</ScaleCrop>
  <LinksUpToDate>false</LinksUpToDate>
  <CharactersWithSpaces>3081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2025-08-29T03:09:47Z</dcterms:created>
  <dc:creator>zheng</dc:creator>
  <cp:lastModifiedBy>Mengwen Zheng</cp:lastModifiedBy>
  <dcterms:modified xsi:type="dcterms:W3CDTF">2025-08-29T06:48:33Z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6947D244544F492DAD6AC610B4B4C5FE_12</vt:lpwstr>
  </property>
</Properties>
</file>