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Meg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a different region - the user clicked on the lower map instead of the side map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- whats a region?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location on the side map is highlighted to guide a user about their regional presence. Is production location different for certain region’s ingredients vs where the ingredient is popular. Also, are nutrients for cuisine or just a food type (having nutricion on a meal level is better)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spider charts for nutrients with radar charts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Aks ourselves what relationships are people going to discover and tailer the visualization based on that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page’s interface is “really cute”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Adrian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spent significant time on the 2nd ingredient screen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1st screen: generic, contextual, not sure what to expect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Flow of exploration: ingredient circle - hard to read, perhaps arrange the ingredients lineally; spider charts are fine as long as they’re relative but we can’t compare sodium w/ protein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Questioned the key on the production map, how to read the color or texture, suggested highlighting the fact that’s we’re talking about production, maybe frame the production screen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Overall, the “flow’s pretty good”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Production chart - ensure that the scale is the same for GDP and Tons and that the key is very clear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Liked: “It flows very intuitively” ; spider charts are good for comparison, but nutrients don’t answer the regional-level question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Additional features: white space interpretation on the production map (low vs non-existent)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Spider map: nutritional differences across regions vs ingredient itself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Country: make a country we click on bigger to highlight the regional aspect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u w:val="single"/>
          <w:rtl w:val="0"/>
        </w:rPr>
        <w:t xml:space="preserve">Saurabh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Confused about the production map and why it doesn’t tie back to the ingredient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Thought the purpose of the visualization didn’t match the production labeling (e.g. GDP)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Flow: “it’s a nice way you’ve done it”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 maps: no confusion between production and go-back map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Dual graph isn’t ideal and can be confusing + different scales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map is a good way to start to reflect on the world food habits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Additional features: what kind of food people consume with this ingredients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