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检索日期：2026-08-13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Observed poleward heat transport by mesoscale eddies in the deep Southern Ocean</w:t>
      </w:r>
    </w:p>
    <w:p>
      <w:r>
        <w:rPr>
          <w:rFonts w:ascii="Microsoft YaHei" w:hAnsi="Microsoft YaHei" w:eastAsia="Microsoft YaHei"/>
          <w:color w:val="55697D"/>
          <w:sz w:val="18"/>
        </w:rPr>
        <w:t>作者：Tongya Liu; Xiaoming Zhai; Qingyou He; Andrew McC. Hogg; Dake Chen</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DOI：10.1038/s41467-026-76674-2</w:t>
      </w:r>
    </w:p>
    <w:p>
      <w:r>
        <w:rPr>
          <w:rFonts w:ascii="Microsoft YaHei" w:hAnsi="Microsoft YaHei" w:eastAsia="Microsoft YaHei"/>
          <w:b/>
          <w:sz w:val="19"/>
        </w:rPr>
        <w:t>关键词：ocean biogeochemistry</w:t>
      </w:r>
    </w:p>
    <w:p>
      <w:r>
        <w:rPr>
          <w:rFonts w:ascii="Microsoft YaHei" w:hAnsi="Microsoft YaHei" w:eastAsia="Microsoft YaHei"/>
          <w:sz w:val="17"/>
        </w:rPr>
        <w:t>摘要：南大洋的中尺度涡流从海面延伸到深海，对区域和全球海洋热量预算做出贡献。然而，稀疏的现场观测限制了对近地表涡经向热传输（EMHT）的估计，导致人们对深海过程知之甚少。在这里，我们使用 Argo 观测来量化深涡动能 (EKE) 和 EMHT。我们发现，尽管深层 EKE 只有表面水平的五分之一，但深层 EMHT 至少达到了与表面传输相同的数量级。浮标观测和敏感性实验表明，相对于单独的平均流量输送，深层EMHT将副热带暖水向南极洲的经向运动延伸了十多个纬度。大约 60% 的深层运输源自印度洋区域。 这些发现提供了观测证据，表明中尺度涡流可以调节南大洋深处的热量重新分布，对南极气候具有潜在影响。</w:t>
      </w:r>
    </w:p>
    <w:p>
      <w:r>
        <w:rPr>
          <w:rFonts w:ascii="Microsoft YaHei" w:hAnsi="Microsoft YaHei" w:eastAsia="Microsoft YaHei"/>
          <w:color w:val="0563C1"/>
          <w:sz w:val="18"/>
        </w:rPr>
        <w:t>链接：https://doi.org/10.1038/s41467-026-76674-2</w:t>
      </w:r>
    </w:p>
    <w:p>
      <w:pPr>
        <w:pStyle w:val="Heading2"/>
      </w:pPr>
      <w:r>
        <w:t>重点期刊：按影响力和相关性排序</w:t>
      </w:r>
    </w:p>
    <w:p>
      <w:pPr>
        <w:pStyle w:val="Heading3"/>
      </w:pPr>
      <w:r>
        <w:rPr>
          <w:rFonts w:ascii="Microsoft YaHei" w:hAnsi="Microsoft YaHei" w:eastAsia="Microsoft YaHei"/>
          <w:b/>
        </w:rPr>
        <w:t>2. Atmosphere-Driven Compound Extremes: Record Marine Heatwave and Phytoplankton Bloom in the Ross Sea During Summer 2022-2023</w:t>
      </w:r>
    </w:p>
    <w:p>
      <w:r>
        <w:rPr>
          <w:rFonts w:ascii="Microsoft YaHei" w:hAnsi="Microsoft YaHei" w:eastAsia="Microsoft YaHei"/>
          <w:color w:val="55697D"/>
          <w:sz w:val="18"/>
        </w:rPr>
        <w:t>作者：Zehao Wang; Shaoyin Wang; Zhu Zhu; Zixin Wei; fukai peng</w:t>
      </w:r>
    </w:p>
    <w:p>
      <w:r>
        <w:rPr>
          <w:rFonts w:ascii="Microsoft YaHei" w:hAnsi="Microsoft YaHei" w:eastAsia="Microsoft YaHei"/>
          <w:color w:val="55697D"/>
          <w:sz w:val="18"/>
        </w:rPr>
        <w:t>期刊：Environmental Research Letters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DOI：10.1088/1748-9326/ae9780</w:t>
      </w:r>
    </w:p>
    <w:p>
      <w:r>
        <w:rPr>
          <w:rFonts w:ascii="Microsoft YaHei" w:hAnsi="Microsoft YaHei" w:eastAsia="Microsoft YaHei"/>
          <w:b/>
          <w:sz w:val="19"/>
        </w:rPr>
        <w:t>关键词：phytoplankton; marine heatwaves; ocean colour; vertical structure</w:t>
      </w:r>
    </w:p>
    <w:p>
      <w:r>
        <w:rPr>
          <w:rFonts w:ascii="Microsoft YaHei" w:hAnsi="Microsoft YaHei" w:eastAsia="Microsoft YaHei"/>
          <w:sz w:val="17"/>
        </w:rPr>
        <w:t>摘要：我们记录了 2022 年至 2023 年南半球夏季 (DJF) 期间罗斯海东部发生的极端海洋热浪 (MHW)，这是卫星记录中最强烈的热事件。利用卫星反演的海面温度（SST）、海洋颜色、海冰和大气-海洋再分析数据，我们发现罗斯海东部在这个季节经历了IV类（极端）MHW，区域平均累积强度在2023年1月达到127. 22 °C·天，夏季平均海温距平局部峰值约为+2。比气候平均值高 5 °C。夏季平均叶绿素-a (Chl-a) 浓度达到 3. 67 毫克立方米，这是自 1997 年开始卫星海洋颜色记录以来在东罗斯海观测到的最高值。 生态反应遵循阈值依赖性序列：早期海冰退缩最初消除了光限制，随后由于持续变暖和上层海洋重新分层有利于水华发育，叶绿素a强烈增加。相比之下，特拉诺瓦湾的持续冰盖阻止了类似的热或生物反应。经向风偶极子驱动了冰的扩散和罗斯海冰间湖东部的早期扩张，同时低云量减少了 15. 43%，使向下的表面短波辐射增加了 64. 09 W m⁻²。地下变暖仍然局限于南纬约 73°以南的上大陆架水域，这表明当地大气-冰-辐射相互作用对这一事件的影响比与海洋环流相关的热传输更为强烈。 这些结果确定了一条明显的极地路径，大气强迫可以通过该路径产生复合的热和生物极端现象，突出了当地海冰耦合在塑造未来南极沿海生产力方面的重要性。</w:t>
      </w:r>
    </w:p>
    <w:p>
      <w:r>
        <w:rPr>
          <w:rFonts w:ascii="Microsoft YaHei" w:hAnsi="Microsoft YaHei" w:eastAsia="Microsoft YaHei"/>
          <w:color w:val="0563C1"/>
          <w:sz w:val="18"/>
        </w:rPr>
        <w:t>链接：https://doi.org/10.1088/1748-9326/ae9780</w:t>
      </w:r>
    </w:p>
    <w:p>
      <w:pPr>
        <w:pStyle w:val="Heading3"/>
      </w:pPr>
      <w:r>
        <w:rPr>
          <w:rFonts w:ascii="Microsoft YaHei" w:hAnsi="Microsoft YaHei" w:eastAsia="Microsoft YaHei"/>
          <w:b/>
        </w:rPr>
        <w:t>3. Estimating Submesoscale‐Driven Particulate Organic Carbon Flux From Remote Sensing at a Dynamic Upwelling Front</w:t>
      </w:r>
    </w:p>
    <w:p>
      <w:r>
        <w:rPr>
          <w:rFonts w:ascii="Microsoft YaHei" w:hAnsi="Microsoft YaHei" w:eastAsia="Microsoft YaHei"/>
          <w:color w:val="55697D"/>
          <w:sz w:val="18"/>
        </w:rPr>
        <w:t>作者：Sarah E. Lang; Melissa M. Omand; Mara A. Freilich; Andrey Y. Shcherbina; J. Thomas Farrar; Leo Middleton; Ernesto Rodríguez</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DOI：10.1029/2025jc023752</w:t>
      </w:r>
    </w:p>
    <w:p>
      <w:r>
        <w:rPr>
          <w:rFonts w:ascii="Microsoft YaHei" w:hAnsi="Microsoft YaHei" w:eastAsia="Microsoft YaHei"/>
          <w:b/>
          <w:sz w:val="19"/>
        </w:rPr>
        <w:t>关键词：carbon pump; ocean colour; bio-optics; vertical structure</w:t>
      </w:r>
    </w:p>
    <w:p>
      <w:r>
        <w:rPr>
          <w:rFonts w:ascii="Microsoft YaHei" w:hAnsi="Microsoft YaHei" w:eastAsia="Microsoft YaHei"/>
          <w:sz w:val="17"/>
        </w:rPr>
        <w:t>摘要：锋面的亚中尺度（1-10公里）垂直速度增强了海洋表层和深处之间的颗粒有机碳（POC）和热量的交换。虽然 POC 和温度可以很容易地进行现场评估，但由于测量上层海洋亚中尺度垂直速度的观测挑战，通量的直接量化仍然不确定。在这里，我们通过将机载垂直速度 (NASA DopplerScatt) 与加州中部洋流系统持续上升的锋面结构中卫星海洋颜色 (Sentinel-3 OLCI) 的 POC 估计配对，提供了对亚中尺度驱动的 POC 通量的新颖估计。 POC 和热量的瞬时平流通量在前部向上和向下分别达到 (1,000 mg C) 和 (1,000 W)。 当在足够的时空尺度上积分以获得可忽略的总体积通量时，可以估计湍流通量或净通量。亚中尺度垂直速度对净向下 POC 通量 ( mg C ) 和向上热通量 ( W ) 做出了重大贡献。瞬时通量、表面运动学以及船基高分辨率生物光学和水文剖面的空间分布表明，混合层下方的 POC 通量是由锋面翻转和细丝俯冲驱动的。这项研究有助于理解亚尺度过程如何改变高产的加州洋流系统中的碳输出。该方法可以扩展到其他区域，以进一步了解亚中尺度驱动的通量对海洋碳循环的影响。</w:t>
      </w:r>
    </w:p>
    <w:p>
      <w:r>
        <w:rPr>
          <w:rFonts w:ascii="Microsoft YaHei" w:hAnsi="Microsoft YaHei" w:eastAsia="Microsoft YaHei"/>
          <w:color w:val="0563C1"/>
          <w:sz w:val="18"/>
        </w:rPr>
        <w:t>链接：https://doi.org/10.1029/2025jc023752</w:t>
      </w:r>
    </w:p>
    <w:p>
      <w:pPr>
        <w:pStyle w:val="Heading3"/>
      </w:pPr>
      <w:r>
        <w:rPr>
          <w:rFonts w:ascii="Microsoft YaHei" w:hAnsi="Microsoft YaHei" w:eastAsia="Microsoft YaHei"/>
          <w:b/>
        </w:rPr>
        <w:t>4. Balanced top-down and bottom-up control in coastal planktonic food webs</w:t>
      </w:r>
    </w:p>
    <w:p>
      <w:r>
        <w:rPr>
          <w:rFonts w:ascii="Microsoft YaHei" w:hAnsi="Microsoft YaHei" w:eastAsia="Microsoft YaHei"/>
          <w:color w:val="55697D"/>
          <w:sz w:val="18"/>
        </w:rPr>
        <w:t>作者：Thomas Imbert; Lena Rönn; Kai Wirtz</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DOI：10.3389/fmars.2026.1858560</w:t>
      </w:r>
    </w:p>
    <w:p>
      <w:r>
        <w:rPr>
          <w:rFonts w:ascii="Microsoft YaHei" w:hAnsi="Microsoft YaHei" w:eastAsia="Microsoft YaHei"/>
          <w:b/>
          <w:sz w:val="19"/>
        </w:rPr>
        <w:t>关键词：phytoplankton</w:t>
      </w:r>
    </w:p>
    <w:p>
      <w:r>
        <w:rPr>
          <w:rFonts w:ascii="Microsoft YaHei" w:hAnsi="Microsoft YaHei" w:eastAsia="Microsoft YaHei"/>
          <w:sz w:val="17"/>
        </w:rPr>
        <w:t>摘要：水生食物网受物理和化学因素（自下而上）和捕食（自上而下）过程的控制。然而，这些控制措施的相对重要性尚不清楚，这阻碍了对气候或人为强迫造成的生态系统变化的理解。例如，虽然人们普遍认为高养分水平会塑造沿海生态系统，但随着养分输入的减少，沿海地区初级生产者的库存持续甚至增加，表明自下而上的控制较弱。为了阐明自下而上和自上而下监管的相关性，我们分析了北海南部瓦登海 15 年的环境条件和七个营养组。我们使用基于体型和性状的喂养理论将物种聚合成营养组。 基于连接因果关系和统计关系的新颖的探索性理论框架，我们将周、月和年度时间尺度上的生物量波动关联起来。我们发现春季开花期间浮游植物的群落结构和生长受到自下而上影响的迹象。在春末和夏季，浮游植物的大量繁殖似乎因放牧而终止，同时浮游动物的浓度也随之升高。反过来，浮游动物和甲藻似乎受到猎物和更高营养水平的控制。这些发现提供了可能的营养关系的整体，并表明在年度和次季节尺度上，自上而下的过程与自下而上的过程相比具有相似的重要性，这表明较高营养级的生态与浮游生物食物网以及最终的生物地球化学循环之间存在重要联系。</w:t>
      </w:r>
    </w:p>
    <w:p>
      <w:r>
        <w:rPr>
          <w:rFonts w:ascii="Microsoft YaHei" w:hAnsi="Microsoft YaHei" w:eastAsia="Microsoft YaHei"/>
          <w:color w:val="0563C1"/>
          <w:sz w:val="18"/>
        </w:rPr>
        <w:t>链接：https://doi.org/10.3389/fmars.2026.1858560</w:t>
      </w:r>
    </w:p>
    <w:p>
      <w:pPr>
        <w:pStyle w:val="Heading3"/>
      </w:pPr>
      <w:r>
        <w:rPr>
          <w:rFonts w:ascii="Microsoft YaHei" w:hAnsi="Microsoft YaHei" w:eastAsia="Microsoft YaHei"/>
          <w:b/>
        </w:rPr>
        <w:t>5. Hyperspectral satellite-derived phytoplankton diagnostic pigments in the East China Sea: Spatiotemporal patterns and ecological response to coastal fronts</w:t>
      </w:r>
    </w:p>
    <w:p>
      <w:r>
        <w:rPr>
          <w:rFonts w:ascii="Microsoft YaHei" w:hAnsi="Microsoft YaHei" w:eastAsia="Microsoft YaHei"/>
          <w:color w:val="55697D"/>
          <w:sz w:val="18"/>
        </w:rPr>
        <w:t>作者：Han Wang; Fang Shen; Renhu Li</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DOI：10.1109/jstars.2026.3723474</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链接：https://doi.org/10.1109/jstars.2026.3723474</w:t>
      </w:r>
    </w:p>
    <w:p>
      <w:pPr>
        <w:pStyle w:val="Heading3"/>
      </w:pPr>
      <w:r>
        <w:rPr>
          <w:rFonts w:ascii="Microsoft YaHei" w:hAnsi="Microsoft YaHei" w:eastAsia="Microsoft YaHei"/>
          <w:b/>
        </w:rPr>
        <w:t>6. Spatio-Temporal Dynamics and Environmental Drivers of Surface Chlorophyll-a in the Gulf of Guinea (2003–2022)</w:t>
      </w:r>
    </w:p>
    <w:p>
      <w:r>
        <w:rPr>
          <w:rFonts w:ascii="Microsoft YaHei" w:hAnsi="Microsoft YaHei" w:eastAsia="Microsoft YaHei"/>
          <w:color w:val="55697D"/>
          <w:sz w:val="18"/>
        </w:rPr>
        <w:t>作者：Loïc Cabrel Youmbi Tchaewo; Charles Verpoorter; Elena Alekseenko</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DOI：10.3390/rs18162717</w:t>
      </w:r>
    </w:p>
    <w:p>
      <w:r>
        <w:rPr>
          <w:rFonts w:ascii="Microsoft YaHei" w:hAnsi="Microsoft YaHei" w:eastAsia="Microsoft YaHei"/>
          <w:b/>
          <w:sz w:val="19"/>
        </w:rPr>
        <w:t>关键词：phytoplankton</w:t>
      </w:r>
    </w:p>
    <w:p>
      <w:r>
        <w:rPr>
          <w:rFonts w:ascii="Microsoft YaHei" w:hAnsi="Microsoft YaHei" w:eastAsia="Microsoft YaHei"/>
          <w:sz w:val="17"/>
        </w:rPr>
        <w:t>摘要：历史上，对几内亚湾（GoG）生物地球化学动力学的机械理解一直受到持续云层覆盖和对静态地理边界的依赖的阻碍。在这项研究中，我们分析了 20 年（2003 年至 2022 年）卫星衍生的叶绿素-a (Chl-a) 数据集，通过三部分空间和机器学习框架克服了这些观测局限性。首先，数据插值经验正交函数 (DINEOF) 算法重建了无间隙气候学，证明了极端模拟云量 (R2 = 0. 884) 下的鲁棒性。其次，模糊 C 均值 (FCM) 聚类算法客观地将盆地划分为三个动态的、物理驱动的生物区域：贫营养环流、河流羽流和上升流巨型集群。 第三，我们应用了由 SHapley Additive exPlanations (SHAP) 支持的可解释的随机森林框架，使用后报营养物和严格的时间划分来确定与沿海 Chl-a 变异性相关的主要物理和生物地球化学预测因子（训练：2003-2018 年；测试：2019-2022）。这些模型在整个沿海地区产生了保守但有意义的独立测试期表现，R2log 值从 0. 437 到 0. 595。该框架并没有揭示新的生态悖论，而是对全球记录的模式提供了针对流域的特定解释：近海寡营养化与局部沿海富集。公海和过渡/上升流区域表现出负叶绿素-a趋势，这与海面变暖、分层增强和向上养分供应减少一致。 相反，沿海生态系统是由调节区域气候信号的当地水文和风力驱动力构成的。在刚果羽流中，叶绿素 a 变异主要由盐羽流动力学和次生营养限制构成，而尼日尔羽流则反映了混合层和陆源营养控制的耦合。这些发现建立了 GoG 的空间客观类型学，为未来的高分辨率任务、监测和耦合物理-生物地球化学建模提供了区域参考框架。</w:t>
      </w:r>
    </w:p>
    <w:p>
      <w:r>
        <w:rPr>
          <w:rFonts w:ascii="Microsoft YaHei" w:hAnsi="Microsoft YaHei" w:eastAsia="Microsoft YaHei"/>
          <w:color w:val="0563C1"/>
          <w:sz w:val="18"/>
        </w:rPr>
        <w:t>链接：https://doi.org/10.3390/rs18162717</w:t>
      </w:r>
    </w:p>
    <w:p>
      <w:pPr>
        <w:pStyle w:val="Heading2"/>
      </w:pPr>
      <w:r>
        <w:t>重点关注团队</w:t>
      </w:r>
    </w:p>
    <w:p>
      <w:pPr>
        <w:pStyle w:val="Heading3"/>
      </w:pPr>
      <w:r>
        <w:rPr>
          <w:rFonts w:ascii="Microsoft YaHei" w:hAnsi="Microsoft YaHei" w:eastAsia="Microsoft YaHei"/>
          <w:b/>
        </w:rPr>
        <w:t>7. A basin-scale comparative analysis of phytoplankton community responses to contrasting hydrological extremes in the Yellow River Basin</w:t>
      </w:r>
    </w:p>
    <w:p>
      <w:r>
        <w:rPr>
          <w:rFonts w:ascii="Microsoft YaHei" w:hAnsi="Microsoft YaHei" w:eastAsia="Microsoft YaHei"/>
          <w:color w:val="55697D"/>
          <w:sz w:val="18"/>
        </w:rPr>
        <w:t>作者：Jing Dong; Feihu Wang; Xuejun Gao; Yuanyuan Tang; Yuanpu Sha; Xiaofei Gao; Huatao Yuan; Xuejun Li</w:t>
      </w:r>
    </w:p>
    <w:p>
      <w:r>
        <w:rPr>
          <w:rFonts w:ascii="Microsoft YaHei" w:hAnsi="Microsoft YaHei" w:eastAsia="Microsoft YaHei"/>
          <w:color w:val="55697D"/>
          <w:sz w:val="18"/>
        </w:rPr>
        <w:t>期刊：Scientific Reports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DOI：10.1038/s41598-026-64997-5</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链接：https://doi.org/10.1038/s41598-026-64997-5</w:t>
      </w:r>
    </w:p>
    <w:p>
      <w:pPr>
        <w:pStyle w:val="Heading3"/>
      </w:pPr>
      <w:r>
        <w:rPr>
          <w:rFonts w:ascii="Microsoft YaHei" w:hAnsi="Microsoft YaHei" w:eastAsia="Microsoft YaHei"/>
          <w:b/>
        </w:rPr>
        <w:t>8. Molecular Fingerprinting of Biodegradable Poly(butylene adipate-co-terephthalate) Leaching and Toxic Effects on Coastal Phytoplankton</w:t>
      </w:r>
    </w:p>
    <w:p>
      <w:r>
        <w:rPr>
          <w:rFonts w:ascii="Microsoft YaHei" w:hAnsi="Microsoft YaHei" w:eastAsia="Microsoft YaHei"/>
          <w:color w:val="55697D"/>
          <w:sz w:val="18"/>
        </w:rPr>
        <w:t>作者：Yanping Li; Yan Wang; Ke Pan; Wen-Xiong Wang; Neng Yan</w:t>
      </w:r>
    </w:p>
    <w:p>
      <w:r>
        <w:rPr>
          <w:rFonts w:ascii="Microsoft YaHei" w:hAnsi="Microsoft YaHei" w:eastAsia="Microsoft YaHei"/>
          <w:color w:val="55697D"/>
          <w:sz w:val="18"/>
        </w:rPr>
        <w:t>期刊：Water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DOI：10.1016/j.watres.2026.126707</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链接：https://doi.org/10.1016/j.watres.2026.126707</w:t>
      </w:r>
    </w:p>
    <w:p>
      <w:pPr>
        <w:pStyle w:val="Heading3"/>
      </w:pPr>
      <w:r>
        <w:rPr>
          <w:rFonts w:ascii="Microsoft YaHei" w:hAnsi="Microsoft YaHei" w:eastAsia="Microsoft YaHei"/>
          <w:b/>
        </w:rPr>
        <w:t>9. Causal-guided regional deep learning for chlorophyll‑a dynamics prediction in heterogeneous marine systems</w:t>
      </w:r>
    </w:p>
    <w:p>
      <w:r>
        <w:rPr>
          <w:rFonts w:ascii="Microsoft YaHei" w:hAnsi="Microsoft YaHei" w:eastAsia="Microsoft YaHei"/>
          <w:color w:val="55697D"/>
          <w:sz w:val="18"/>
        </w:rPr>
        <w:t>作者：Xuan Wang; Huanyu Qi; Wei Li; Guijun Han</w:t>
      </w:r>
    </w:p>
    <w:p>
      <w:r>
        <w:rPr>
          <w:rFonts w:ascii="Microsoft YaHei" w:hAnsi="Microsoft YaHei" w:eastAsia="Microsoft YaHei"/>
          <w:color w:val="55697D"/>
          <w:sz w:val="18"/>
        </w:rPr>
        <w:t>期刊：Water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DOI：10.1016/j.watres.2026.126703</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链接：https://doi.org/10.1016/j.watres.2026.126703</w:t>
      </w:r>
    </w:p>
    <w:p>
      <w:pPr>
        <w:pStyle w:val="Heading2"/>
      </w:pPr>
      <w:r>
        <w:t>其他相关期刊：按主题相关性补充</w:t>
      </w:r>
    </w:p>
    <w:p>
      <w:pPr>
        <w:pStyle w:val="Heading3"/>
      </w:pPr>
      <w:r>
        <w:rPr>
          <w:rFonts w:ascii="Microsoft YaHei" w:hAnsi="Microsoft YaHei" w:eastAsia="Microsoft YaHei"/>
          <w:b/>
        </w:rPr>
        <w:t>10. Nitrogen and Phosphorus Controls on Phytoplankton Growth and Bacterioplankton Communities in Wetland Impoundments</w:t>
      </w:r>
    </w:p>
    <w:p>
      <w:r>
        <w:rPr>
          <w:rFonts w:ascii="Microsoft YaHei" w:hAnsi="Microsoft YaHei" w:eastAsia="Microsoft YaHei"/>
          <w:color w:val="55697D"/>
          <w:sz w:val="18"/>
        </w:rPr>
        <w:t>作者：Rachel. L. Wood; Jakob L. Young; Madeleine P. Malmfeldt; Adam J. Norris; Zachary T. Aanderud; Michelle A. Baker</w:t>
      </w:r>
    </w:p>
    <w:p>
      <w:r>
        <w:rPr>
          <w:rFonts w:ascii="Microsoft YaHei" w:hAnsi="Microsoft YaHei" w:eastAsia="Microsoft YaHei"/>
          <w:color w:val="55697D"/>
          <w:sz w:val="18"/>
        </w:rPr>
        <w:t>期刊：Freshwater 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DOI：10.1111/fwb.70295</w:t>
      </w:r>
    </w:p>
    <w:p>
      <w:r>
        <w:rPr>
          <w:rFonts w:ascii="Microsoft YaHei" w:hAnsi="Microsoft YaHei" w:eastAsia="Microsoft YaHei"/>
          <w:b/>
          <w:sz w:val="19"/>
        </w:rPr>
        <w:t>关键词：phytoplankton</w:t>
      </w:r>
    </w:p>
    <w:p>
      <w:r>
        <w:rPr>
          <w:rFonts w:ascii="Microsoft YaHei" w:hAnsi="Microsoft YaHei" w:eastAsia="Microsoft YaHei"/>
          <w:sz w:val="17"/>
        </w:rPr>
        <w:t>摘要：浅湖和池塘的营养富集可以使系统从清水、水生植物占优势转变为浑浊、浮游植物占优势。由于限制性营养物质的特性和阈值因地点而异，因此需要系统特定的证据来指导水质管理。我们在大盐湖（美国犹他州）附近的两个湿地蓄水池进行了为期 3 天的原位营养富集生物测定，以确定浮游植物生长的限制营养，量化对氮 (N) 和磷 (P) 的生长反应，使用莫诺动力学估计操作营养阈值，并评估同一营养梯度下的浮游细菌群落和功能反应。浮游植物生物量（叶绿素 a ）用于计算生长率，并通过 16S rRNA 基因测序和推断功能注释来分析浮游细菌群落。 在这两个湿地中，浮游植物的生长随着氮的添加而增加，但不随着磷的添加而增加，这表明在高环境磷下氮受到限制。莫诺模型得出的半饱和常数约为 0. 7 mg N L -1 （作为 NO 3 –N），我们将其解释为这些蓄水池中浮游植物生长的氮阈值。浮游细菌组成因地点而异，蓝藻科在两个地点均占主导地位，群落均匀度在氮阈值以上下降。推断的宏基因组表明携带微囊藻毒素合成酶基因 mcyE 的类群相对丰度高于 N 阈值，表明蓝藻毒素潜力增加。总之，这些结果支持除了磷之外还控制氮的管理行动，并证明了生物测定得出的阈值对于告知管理湿地的数字标准的价值。</w:t>
      </w:r>
    </w:p>
    <w:p>
      <w:r>
        <w:rPr>
          <w:rFonts w:ascii="Microsoft YaHei" w:hAnsi="Microsoft YaHei" w:eastAsia="Microsoft YaHei"/>
          <w:color w:val="0563C1"/>
          <w:sz w:val="18"/>
        </w:rPr>
        <w:t>链接：https://doi.org/10.1111/fwb.70295</w:t>
      </w:r>
    </w:p>
    <w:p>
      <w:pPr>
        <w:pStyle w:val="Heading3"/>
      </w:pPr>
      <w:r>
        <w:rPr>
          <w:rFonts w:ascii="Microsoft YaHei" w:hAnsi="Microsoft YaHei" w:eastAsia="Microsoft YaHei"/>
          <w:b/>
        </w:rPr>
        <w:t>11. Validation of Sea Surface Salinity Products of HY–4A LASMR Based on Argo Observations: Results of First On-Orbit Year</w:t>
      </w:r>
    </w:p>
    <w:p>
      <w:r>
        <w:rPr>
          <w:rFonts w:ascii="Microsoft YaHei" w:hAnsi="Microsoft YaHei" w:eastAsia="Microsoft YaHei"/>
          <w:color w:val="55697D"/>
          <w:sz w:val="18"/>
        </w:rPr>
        <w:t>作者：Xinhao Zuo; Congcong Wang; Jin Wang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DOI：10.3390/jmse14161492</w:t>
      </w:r>
    </w:p>
    <w:p>
      <w:r>
        <w:rPr>
          <w:rFonts w:ascii="Microsoft YaHei" w:hAnsi="Microsoft YaHei" w:eastAsia="Microsoft YaHei"/>
          <w:b/>
          <w:sz w:val="19"/>
        </w:rPr>
        <w:t>关键词：BGC-Argo; vertical structure</w:t>
      </w:r>
    </w:p>
    <w:p>
      <w:r>
        <w:rPr>
          <w:rFonts w:ascii="Microsoft YaHei" w:hAnsi="Microsoft YaHei" w:eastAsia="Microsoft YaHei"/>
          <w:sz w:val="17"/>
        </w:rPr>
        <w:t>摘要：HY-4A是我国首颗海洋盐度遥感卫星，于2024年11月发射入轨，目前投入运行。 LASMR（L波段孔径合成微波辐射计）是HY-4A卫星上搭载的L波段合成孔径辐射计。本研究利用Argo浮标现场盐度观测结果验证了LASMR Level-2 SSS（海面盐度）产品，覆盖时间为2024年11月至2025年12月。全局分析表明，LASMR SSS反演不确定度呈现明显的纬向分布，主要反映了海面温度（SST）和海面风速对SSS反演精度的影响。较低的 SST 会降低亮温 (TB) 对 SSS 变化的敏感性，而高风速会降低海面粗糙度校正的效果。 这两个因素都会导致 SSS 检索的不确定性增加。此外，水汽含量和降水等大气参数也会影响SSS反演的不确定性。水蒸气的影响可能源于其与海温/风速的耦合以及欧洲中期天气预报中心（ECMWF）再分析数据中固有的不确定性。降水的影响更为复杂：它通过降雨引起的表面清新和额外的降雨引起的粗糙化（这会混叠到卫星信号中）来增加海洋结核病。此外，降水增强的垂直盐度梯度放大了卫星传感和Argo测量之间的深度差异引起的垂直代表性误差。 同时，受陆地亮温污染和射频干扰（RFI）的影响，HY-4A在沿海水域的SSS反演精度与公海相比显着下降。由于传统的浮标-卫星双匹配方法往往会高估卫星数据的不确定性，因此采用Argo/HY-4A/SMAP（土壤湿度主动被动）三重搭配数据集来估计LASMR SSS反演不确定性。三重搭配方法对全球海洋和高盐度变异区域的两颗卫星（HY-4A 和 SMAP）进行了稳健的不确定性估计。总之，HY-4A LASMR SSS 产品的全局不确定性为 0. 35 psu。这些结果为未来产品的细化和HY-4A SSS检索算法的改进提供了参考。</w:t>
      </w:r>
    </w:p>
    <w:p>
      <w:r>
        <w:rPr>
          <w:rFonts w:ascii="Microsoft YaHei" w:hAnsi="Microsoft YaHei" w:eastAsia="Microsoft YaHei"/>
          <w:color w:val="0563C1"/>
          <w:sz w:val="18"/>
        </w:rPr>
        <w:t>链接：https://doi.org/10.3390/jmse14161492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