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24D"/>
          <w:sz w:val="44"/>
        </w:rPr>
        <w:t>每日论文推送</w:t>
      </w:r>
    </w:p>
    <w:p>
      <w:pPr>
        <w:jc w:val="center"/>
      </w:pPr>
      <w:r>
        <w:rPr>
          <w:rFonts w:ascii="Microsoft YaHei" w:hAnsi="Microsoft YaHei" w:eastAsia="Microsoft YaHei"/>
          <w:color w:val="55697D"/>
          <w:sz w:val="19"/>
        </w:rPr>
        <w:t>检索日期：2026-08-22 | GitHub Actions 自动生成</w:t>
      </w:r>
    </w:p>
    <w:p>
      <w:pPr>
        <w:pStyle w:val="Heading1"/>
      </w:pPr>
      <w:r>
        <w:t>今日总览</w:t>
      </w:r>
    </w:p>
    <w:p>
      <w:r>
        <w:rPr>
          <w:rFonts w:ascii="Microsoft YaHei" w:hAnsi="Microsoft YaHei" w:eastAsia="Microsoft YaHei"/>
        </w:rPr>
        <w:t>历史去重后今日新增 6 篇。排序规则：Nature 系列、Science 系列、其余重点期刊、重点关注团队、其他相关补充论文。</w:t>
      </w:r>
    </w:p>
    <w:p>
      <w:pPr>
        <w:pStyle w:val="Heading1"/>
      </w:pPr>
      <w:r>
        <w:t>论文速读</w:t>
      </w:r>
    </w:p>
    <w:p>
      <w:pPr>
        <w:pStyle w:val="Heading2"/>
      </w:pPr>
      <w:r>
        <w:t>重点期刊：按影响力和相关性排序</w:t>
      </w:r>
    </w:p>
    <w:p>
      <w:pPr>
        <w:pStyle w:val="Heading3"/>
      </w:pPr>
      <w:r>
        <w:rPr>
          <w:rFonts w:ascii="Microsoft YaHei" w:hAnsi="Microsoft YaHei" w:eastAsia="Microsoft YaHei"/>
          <w:b/>
        </w:rPr>
        <w:t>1. Unexpected Ecological Vulnerability in Tropical Pacific Heatwave Refuge</w:t>
      </w:r>
    </w:p>
    <w:p>
      <w:r>
        <w:rPr>
          <w:rFonts w:ascii="Microsoft YaHei" w:hAnsi="Microsoft YaHei" w:eastAsia="Microsoft YaHei"/>
          <w:color w:val="55697D"/>
          <w:sz w:val="18"/>
        </w:rPr>
        <w:t>作者：Weikang Zhan; Ying Zhang; Haigang Zhan; Qingyou He</w:t>
      </w:r>
    </w:p>
    <w:p>
      <w:r>
        <w:rPr>
          <w:rFonts w:ascii="Microsoft YaHei" w:hAnsi="Microsoft YaHei" w:eastAsia="Microsoft YaHei"/>
          <w:color w:val="55697D"/>
          <w:sz w:val="18"/>
        </w:rPr>
        <w:t>期刊：Global Change Biology</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DOI：10.1111/gcb.71065</w:t>
      </w:r>
    </w:p>
    <w:p>
      <w:r>
        <w:rPr>
          <w:rFonts w:ascii="Microsoft YaHei" w:hAnsi="Microsoft YaHei" w:eastAsia="Microsoft YaHei"/>
          <w:b/>
          <w:sz w:val="19"/>
        </w:rPr>
        <w:t>关键词：BGC-Argo; phytoplankton; marine heatwaves; vertical structure</w:t>
      </w:r>
    </w:p>
    <w:p>
      <w:r>
        <w:rPr>
          <w:rFonts w:ascii="Microsoft YaHei" w:hAnsi="Microsoft YaHei" w:eastAsia="Microsoft YaHei"/>
          <w:sz w:val="17"/>
        </w:rPr>
        <w:t>摘要：赤道中西太平洋（WCP）的特点是海洋热浪（MHW）发生率低且MHW强度弱，通常被认为是MHW的避难所。然而，通过将卫星观测与 BGC-Argo 浮标和 TAO/TRITON 浮标的现场测量相结合，这项研究表明，WCP 对全球海洋中的 MHW 表现出最强的浮游植物响应，近地表叶绿素浓度 (CHL) 每单位 MHW 强度下降高达 50%。这种极端反应主要是由于 MHW 期间水平和垂直养分供应同时减少所致。东向洋流异常抑制了来自东部的富营养水的纬向平流，而盐度分层和浅滩混合层的增强则阻碍了垂直养分供应。 与近地表相反，次表层浮游植物在 MHW 期间大幅增加，这主要是由于浅滩混合层以下和加深的透光层底部附近的营养和光照条件的改善所致。由于 WCP 拥有世界上最高产的金枪鱼渔业和密集的地下 MHW，我们的研究结果揭示了以前未被认识到的生态脆弱性，对这一重要海洋系统的渔业管理和碳循环具有重要影响。</w:t>
      </w:r>
    </w:p>
    <w:p>
      <w:r>
        <w:rPr>
          <w:rFonts w:ascii="Microsoft YaHei" w:hAnsi="Microsoft YaHei" w:eastAsia="Microsoft YaHei"/>
          <w:color w:val="0563C1"/>
          <w:sz w:val="18"/>
        </w:rPr>
        <w:t>链接：https://doi.org/10.1111/gcb.71065</w:t>
      </w:r>
    </w:p>
    <w:p>
      <w:pPr>
        <w:pStyle w:val="Heading3"/>
      </w:pPr>
      <w:r>
        <w:rPr>
          <w:rFonts w:ascii="Microsoft YaHei" w:hAnsi="Microsoft YaHei" w:eastAsia="Microsoft YaHei"/>
          <w:b/>
        </w:rPr>
        <w:t>2. Satellite-Based Framework for Detecting Seabed Dynamics from Shoreline Variability along Spit Coasts—A Pilot Study from the Hel Peninsula</w:t>
      </w:r>
    </w:p>
    <w:p>
      <w:r>
        <w:rPr>
          <w:rFonts w:ascii="Microsoft YaHei" w:hAnsi="Microsoft YaHei" w:eastAsia="Microsoft YaHei"/>
          <w:color w:val="55697D"/>
          <w:sz w:val="18"/>
        </w:rPr>
        <w:t>作者：Patryk Sapiega; Tamara Zalewska</w:t>
      </w:r>
    </w:p>
    <w:p>
      <w:r>
        <w:rPr>
          <w:rFonts w:ascii="Microsoft YaHei" w:hAnsi="Microsoft YaHei" w:eastAsia="Microsoft YaHei"/>
          <w:color w:val="55697D"/>
          <w:sz w:val="18"/>
        </w:rPr>
        <w:t>期刊：Remote Sensing</w:t>
      </w:r>
    </w:p>
    <w:p>
      <w:r>
        <w:rPr>
          <w:rFonts w:ascii="Microsoft YaHei" w:hAnsi="Microsoft YaHei" w:eastAsia="Microsoft YaHei"/>
          <w:color w:val="55697D"/>
          <w:sz w:val="18"/>
        </w:rPr>
        <w:t>发表月份：2026（月份未核准）</w:t>
      </w:r>
    </w:p>
    <w:p>
      <w:r>
        <w:rPr>
          <w:rFonts w:ascii="Microsoft YaHei" w:hAnsi="Microsoft YaHei" w:eastAsia="Microsoft YaHei"/>
          <w:color w:val="55697D"/>
          <w:sz w:val="18"/>
        </w:rPr>
        <w:t>DOI：10.14358/pers.26-00037r4</w:t>
      </w:r>
    </w:p>
    <w:p>
      <w:r>
        <w:rPr>
          <w:rFonts w:ascii="Microsoft YaHei" w:hAnsi="Microsoft YaHei" w:eastAsia="Microsoft YaHei"/>
          <w:b/>
          <w:sz w:val="19"/>
        </w:rPr>
        <w:t>关键词：ocean biogeochemistry</w:t>
      </w:r>
    </w:p>
    <w:p>
      <w:r>
        <w:rPr>
          <w:rFonts w:ascii="Microsoft YaHei" w:hAnsi="Microsoft YaHei" w:eastAsia="Microsoft YaHei"/>
          <w:sz w:val="17"/>
        </w:rPr>
        <w:t>摘要：这项研究提出了一个试点、数据驱动的框架，用于检测近岸海底动态，该框架基于高分辨率卫星图像得出的海岸线变化，并与波罗的海南部赫尔半岛沿线的原位测深测量相结合。该方法的重点是评估卫星产生的海岸线位移是否可以作为沉积活跃沿海地区海底形态变化的间接指标。使用 Pléiades 卫星图像和 2019 年和 2022 年两次监测活动期间收集的现场测深数据对四个跨岸横断面进行了分析。 通过横截面剖面分析来量化海底高程的变化，同时使用 Hallermeier、Birkemeier 和 Houston 提出的经验公式来估计关键的形态动力学参数，包括闭合深度和活动海底的长度。为了提供水动力背景，使用哥白尼海洋服务再分析数据对波浪和海流条件进行了表征。结果揭示了赫尔半岛沿线海底响应的显着空间变异性，高能量开放海岸区域以侵蚀为主，而半封闭、低能量环境中的形态变化有限。在测试的公式中，伯克迈尔方程显示与场导出的闭合深度最接近，而所有经验模型都系统地高估了低能量设置下的闭合深度。 研究结果证明了基于卫星的海岸线观测作为海岸形态动力学评估支持工具的潜力，同时强调了测量不确定性、短观测窗口和简化过程表示所带来的限制。总体而言，所提出的框架应被视为概念验证应用程序，需要更长的观测时间序列、改进的不确定性量化和本地校准，然后才能考虑操作实施</w:t>
      </w:r>
    </w:p>
    <w:p>
      <w:r>
        <w:rPr>
          <w:rFonts w:ascii="Microsoft YaHei" w:hAnsi="Microsoft YaHei" w:eastAsia="Microsoft YaHei"/>
          <w:color w:val="0563C1"/>
          <w:sz w:val="18"/>
        </w:rPr>
        <w:t>链接：https://doi.org/10.14358/pers.26-00037r4</w:t>
      </w:r>
    </w:p>
    <w:p>
      <w:pPr>
        <w:pStyle w:val="Heading2"/>
      </w:pPr>
      <w:r>
        <w:t>重点关注团队</w:t>
      </w:r>
    </w:p>
    <w:p>
      <w:pPr>
        <w:pStyle w:val="Heading3"/>
      </w:pPr>
      <w:r>
        <w:rPr>
          <w:rFonts w:ascii="Microsoft YaHei" w:hAnsi="Microsoft YaHei" w:eastAsia="Microsoft YaHei"/>
          <w:b/>
        </w:rPr>
        <w:t>3. A Statistical Quality-Control Framework for Sentinel-1 SAR Wind Speed Retrieval Based on First- and Second-Order Moments</w:t>
      </w:r>
    </w:p>
    <w:p>
      <w:r>
        <w:rPr>
          <w:rFonts w:ascii="Microsoft YaHei" w:hAnsi="Microsoft YaHei" w:eastAsia="Microsoft YaHei"/>
          <w:color w:val="55697D"/>
          <w:sz w:val="18"/>
        </w:rPr>
        <w:t>作者：Yan Wang; Xupu Geng; Yan Li; Xiaohui Li; Chenghan Luo; Shaoping Shang; Feng Zhang</w:t>
      </w:r>
    </w:p>
    <w:p>
      <w:r>
        <w:rPr>
          <w:rFonts w:ascii="Microsoft YaHei" w:hAnsi="Microsoft YaHei" w:eastAsia="Microsoft YaHei"/>
          <w:color w:val="55697D"/>
          <w:sz w:val="18"/>
        </w:rPr>
        <w:t>期刊：Journal of Marine Science and Engineering</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DOI：10.3390/jmse14161555</w:t>
      </w:r>
    </w:p>
    <w:p>
      <w:r>
        <w:rPr>
          <w:rFonts w:ascii="Microsoft YaHei" w:hAnsi="Microsoft YaHei" w:eastAsia="Microsoft YaHei"/>
          <w:b/>
          <w:sz w:val="19"/>
        </w:rPr>
        <w:t>关键词：backscattering</w:t>
      </w:r>
    </w:p>
    <w:p>
      <w:r>
        <w:rPr>
          <w:rFonts w:ascii="Microsoft YaHei" w:hAnsi="Microsoft YaHei" w:eastAsia="Microsoft YaHei"/>
          <w:sz w:val="17"/>
        </w:rPr>
        <w:t>摘要：合成孔径雷达 (SAR) 可实现高分辨率海面风速反演。然而，SAR 图像空间分辨率的增强带来了巨大的挑战，小规模污染源会显着降低检索精度。特别是在沿海地区，与风无关的反向散射信号（例如船舶和浮油）可能会严重影响亚千米尺度的风速估计。在本研究中，一阶矩（平均值，m1）和二阶矩（方差，m2）是根据宽幅干涉（IW）模式下获取的 Sentinel-1 SAR 数据子图像内的归一化雷达截面（NRCS）计算的。 分析表明，VV 和 VH 偏振中的清洁海面信号在 m1-m2 统计特征空间中围绕近似线性经验趋势 m2 = 2m1 + b 聚集，而所检查的污染类型偏离该趋势并占据可分离的区域。基于这一特性，提出了一种质量控制框架，用于系统地将干净的海面与图像噪声（边界噪声和条带间条纹噪声）和非海洋目标（陆地污染、亮目标和暗点）分离。使用来自台湾海峡的独立 SAR 数据分别对本地 10 m 和高度调整的 3 m 浮标观测进行验证。对于原始 10 m 观测，RMSE 和 MBE 基本保持不变，为 1. 5 m/s 和 -0。分别为 3 m/s。对于高度调整的近岸观测，RMSE 从 3. 2 m/s 下降到 2. 2 m/s。 1 m/s，MBE 从-1 变化。 5 m/s 至 -1。 1米/秒。</w:t>
      </w:r>
    </w:p>
    <w:p>
      <w:r>
        <w:rPr>
          <w:rFonts w:ascii="Microsoft YaHei" w:hAnsi="Microsoft YaHei" w:eastAsia="Microsoft YaHei"/>
          <w:color w:val="0563C1"/>
          <w:sz w:val="18"/>
        </w:rPr>
        <w:t>链接：https://doi.org/10.3390/jmse14161555</w:t>
      </w:r>
    </w:p>
    <w:p>
      <w:pPr>
        <w:pStyle w:val="Heading3"/>
      </w:pPr>
      <w:r>
        <w:rPr>
          <w:rFonts w:ascii="Microsoft YaHei" w:hAnsi="Microsoft YaHei" w:eastAsia="Microsoft YaHei"/>
          <w:b/>
        </w:rPr>
        <w:t>4. Nonlinear Effects of Background Currents on Low-Mode Internal Tides from the Luzon Strait</w:t>
      </w:r>
    </w:p>
    <w:p>
      <w:r>
        <w:rPr>
          <w:rFonts w:ascii="Microsoft YaHei" w:hAnsi="Microsoft YaHei" w:eastAsia="Microsoft YaHei"/>
          <w:color w:val="55697D"/>
          <w:sz w:val="18"/>
        </w:rPr>
        <w:t>作者：Jiaqi Guo; Pengyang Song; Hao Huang; Xueen Chen</w:t>
      </w:r>
    </w:p>
    <w:p>
      <w:r>
        <w:rPr>
          <w:rFonts w:ascii="Microsoft YaHei" w:hAnsi="Microsoft YaHei" w:eastAsia="Microsoft YaHei"/>
          <w:color w:val="55697D"/>
          <w:sz w:val="18"/>
        </w:rPr>
        <w:t>期刊：Journal of Marine Science and Engineering</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DOI：10.3390/jmse14161552</w:t>
      </w:r>
    </w:p>
    <w:p>
      <w:r>
        <w:rPr>
          <w:rFonts w:ascii="Microsoft YaHei" w:hAnsi="Microsoft YaHei" w:eastAsia="Microsoft YaHei"/>
          <w:b/>
          <w:sz w:val="19"/>
        </w:rPr>
        <w:t>关键词：ocean biogeochemistry</w:t>
      </w:r>
    </w:p>
    <w:p>
      <w:r>
        <w:rPr>
          <w:rFonts w:ascii="Microsoft YaHei" w:hAnsi="Microsoft YaHei" w:eastAsia="Microsoft YaHei"/>
          <w:sz w:val="17"/>
        </w:rPr>
        <w:t>摘要：吕宋海峡是全球内潮汐的重要产生地。它们的产生和传播受到背景电流的显着调节，包括黑潮电流和中尺度涡流。本研究利用高分辨率数值模拟研究了这些背景水流对低模（模态 1-3）内潮汐的非线性影响。我们应用考虑地球自转和背景流的泰勒-戈德斯坦方程进行模态分解，并利用非线性内潮汐能方程来量化三个关键的能量路径：模间能量转换、与背景流的非线性能量交换和非线性平流效应。 结果表明，虽然固定模式 1 内潮汐在吕宋海峡的产生区域占主导地位，但非固定能量在西部和东部传播区域显着增加，这主要是由黑潮季节变化驱动的。模间能量转换遵循从较低模式到较高模式的级联，转换效率随着模式数量的增加而增加。背景流和内潮汐之间的非线性交换比模间转换小一个数量级，但表现出双向传递，其中平流重新分配涡流结构内的内潮汐能。这项研究为理解复杂海洋动力学下内潮汐的多尺度能量路径提供了一个定量框架。</w:t>
      </w:r>
    </w:p>
    <w:p>
      <w:r>
        <w:rPr>
          <w:rFonts w:ascii="Microsoft YaHei" w:hAnsi="Microsoft YaHei" w:eastAsia="Microsoft YaHei"/>
          <w:color w:val="0563C1"/>
          <w:sz w:val="18"/>
        </w:rPr>
        <w:t>链接：https://doi.org/10.3390/jmse14161552</w:t>
      </w:r>
    </w:p>
    <w:p>
      <w:pPr>
        <w:pStyle w:val="Heading2"/>
      </w:pPr>
      <w:r>
        <w:t>其他相关期刊：按主题相关性补充</w:t>
      </w:r>
    </w:p>
    <w:p>
      <w:pPr>
        <w:pStyle w:val="Heading3"/>
      </w:pPr>
      <w:r>
        <w:rPr>
          <w:rFonts w:ascii="Microsoft YaHei" w:hAnsi="Microsoft YaHei" w:eastAsia="Microsoft YaHei"/>
          <w:b/>
        </w:rPr>
        <w:t>5. Photic zone dynamics and environmental controls of pigment-derived phytoplankton size classes in the South-Eastern Black Sea</w:t>
      </w:r>
    </w:p>
    <w:p>
      <w:r>
        <w:rPr>
          <w:rFonts w:ascii="Microsoft YaHei" w:hAnsi="Microsoft YaHei" w:eastAsia="Microsoft YaHei"/>
          <w:color w:val="55697D"/>
          <w:sz w:val="18"/>
        </w:rPr>
        <w:t>作者：Ertuğrul Ağırbaş; Nazlı Genç</w:t>
      </w:r>
    </w:p>
    <w:p>
      <w:r>
        <w:rPr>
          <w:rFonts w:ascii="Microsoft YaHei" w:hAnsi="Microsoft YaHei" w:eastAsia="Microsoft YaHei"/>
          <w:color w:val="55697D"/>
          <w:sz w:val="18"/>
        </w:rPr>
        <w:t>期刊：Journal of Plankton Research</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DOI：10.1093/plankt/fbag063</w:t>
      </w:r>
    </w:p>
    <w:p>
      <w:r>
        <w:rPr>
          <w:rFonts w:ascii="Microsoft YaHei" w:hAnsi="Microsoft YaHei" w:eastAsia="Microsoft YaHei"/>
          <w:b/>
          <w:sz w:val="19"/>
        </w:rPr>
        <w:t>关键词：phytoplankton; microbial carbon</w:t>
      </w:r>
    </w:p>
    <w:p>
      <w:r>
        <w:rPr>
          <w:rFonts w:ascii="Microsoft YaHei" w:hAnsi="Microsoft YaHei" w:eastAsia="Microsoft YaHei"/>
          <w:sz w:val="17"/>
        </w:rPr>
        <w:t>摘要：了解浮游植物的环境控制对于预测生态系统对不断变化的海洋条件的反应至关重要。本研究利用高效液相色谱 (HPLC) 和规范对应分析 (CCA) 调查了黑海东南部河流 - 沿海 - 近海梯度沿线的色素衍生浮游植物尺寸类别（微米级、纳米级和超微型浮游植物）。 2015 年 5 月至 2016 年 4 月期间，在三个站点（离岸 0. 5、5 和 20 海里）每月进行采样。对整个透光区收集的水样进行叶绿素-a 和诊断色素与水文、养分可用性和光照条件的关系分析。 微型浮游植物占浮游植物总生物量的8-91%，在营养丰富、低盐度河流影响的水域中占主导地位，而纳米浮游植物在沿海过渡带占主导地位，而微型浮游植物在寡营养近海环境中达到70%。 CCA 表明，浮游植物的大小结构主要受养分有效性、盐度和深度的跨陆架梯度控制，其中叶绿素-a 与微型浮游植物的优势以及有利于较小大小类别的温度和分层相关。这些发现证明了对浮游植物大小结构的强有力的自下而上的控制，并强调了跨大陆架环境梯度在调节生态系统组织中的重要性。 近海浮游植物组分的减少表明营养转移效率降低，并且在水柱分层增强的情况下，碳循环对微生物途径的依赖增加。</w:t>
      </w:r>
    </w:p>
    <w:p>
      <w:r>
        <w:rPr>
          <w:rFonts w:ascii="Microsoft YaHei" w:hAnsi="Microsoft YaHei" w:eastAsia="Microsoft YaHei"/>
          <w:color w:val="0563C1"/>
          <w:sz w:val="18"/>
        </w:rPr>
        <w:t>链接：https://doi.org/10.1093/plankt/fbag063</w:t>
      </w:r>
    </w:p>
    <w:p>
      <w:pPr>
        <w:pStyle w:val="Heading3"/>
      </w:pPr>
      <w:r>
        <w:rPr>
          <w:rFonts w:ascii="Microsoft YaHei" w:hAnsi="Microsoft YaHei" w:eastAsia="Microsoft YaHei"/>
          <w:b/>
        </w:rPr>
        <w:t>6. Identification of hotspots for biodiversity planning and conservation in Central Highlands and Southern Central Coast of Vietnam</w:t>
      </w:r>
    </w:p>
    <w:p>
      <w:r>
        <w:rPr>
          <w:rFonts w:ascii="Microsoft YaHei" w:hAnsi="Microsoft YaHei" w:eastAsia="Microsoft YaHei"/>
          <w:color w:val="55697D"/>
          <w:sz w:val="18"/>
        </w:rPr>
        <w:t>作者：M D Hoang; H T Luu; V B Tran; T V Nguyen; D P Diep</w:t>
      </w:r>
    </w:p>
    <w:p>
      <w:r>
        <w:rPr>
          <w:rFonts w:ascii="Microsoft YaHei" w:hAnsi="Microsoft YaHei" w:eastAsia="Microsoft YaHei"/>
          <w:color w:val="55697D"/>
          <w:sz w:val="18"/>
        </w:rPr>
        <w:t>期刊：IOP Conference Series: Earth and Environmental Science</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DOI：10.1088/1755-1315/1657/1/012020</w:t>
      </w:r>
    </w:p>
    <w:p>
      <w:r>
        <w:rPr>
          <w:rFonts w:ascii="Microsoft YaHei" w:hAnsi="Microsoft YaHei" w:eastAsia="Microsoft YaHei"/>
          <w:b/>
          <w:sz w:val="19"/>
        </w:rPr>
        <w:t>关键词：ocean colour</w:t>
      </w:r>
    </w:p>
    <w:p>
      <w:r>
        <w:rPr>
          <w:rFonts w:ascii="Microsoft YaHei" w:hAnsi="Microsoft YaHei" w:eastAsia="Microsoft YaHei"/>
          <w:sz w:val="17"/>
        </w:rPr>
        <w:t>摘要：卫星遥感和物种分布建模为现场数据和资源有限的保护规划提供了可扩展的工具。在这里，我们将 Landsat 生成的土地覆盖图（1980 年之前的基线和 2018 年）与高分辨率生物气候变量和基于 Maxent 的物种分布模型相结合，以确定越南中部高地和南部中央海岸的生物多样性热点和优先保护区。我们对 114 种受威胁动植物物种的潜在分布进行了建模，并使用每 2 × 2 km 网格单元受威胁物种丰富度绘制热点图，并辅以多标准优先级矩阵。该分析强调了受威胁物种集中的两个主要中心，并划定了扩大保护区网络和改善景观连通性的高度优先区域。 由此产生的热点层和拟议的保护组合为支持区域生物多样性规划、保护区扩张和走廊设计提供了证据基础。</w:t>
      </w:r>
    </w:p>
    <w:p>
      <w:r>
        <w:rPr>
          <w:rFonts w:ascii="Microsoft YaHei" w:hAnsi="Microsoft YaHei" w:eastAsia="Microsoft YaHei"/>
          <w:color w:val="0563C1"/>
          <w:sz w:val="18"/>
        </w:rPr>
        <w:t>链接：https://doi.org/10.1088/1755-1315/1657/1/012020</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