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17324D"/>
          <w:sz w:val="44"/>
        </w:rPr>
        <w:t>每日论文推送</w:t>
      </w:r>
    </w:p>
    <w:p>
      <w:pPr>
        <w:jc w:val="center"/>
      </w:pPr>
      <w:r>
        <w:rPr>
          <w:rFonts w:ascii="Microsoft YaHei" w:hAnsi="Microsoft YaHei" w:eastAsia="Microsoft YaHei"/>
          <w:color w:val="55697D"/>
          <w:sz w:val="19"/>
        </w:rPr>
        <w:t>检索日期：2026-10-23 | GitHub Actions 自动生成</w:t>
      </w:r>
    </w:p>
    <w:p>
      <w:pPr>
        <w:pStyle w:val="Heading1"/>
      </w:pPr>
      <w:r>
        <w:t>今日总览</w:t>
      </w:r>
    </w:p>
    <w:p>
      <w:r>
        <w:rPr>
          <w:rFonts w:ascii="Microsoft YaHei" w:hAnsi="Microsoft YaHei" w:eastAsia="Microsoft YaHei"/>
        </w:rPr>
        <w:t>历史去重后今日新增 4 篇。排序规则：Nature 系列、Science 系列、其余重点期刊、重点关注团队、其他相关补充论文。</w:t>
      </w:r>
    </w:p>
    <w:p>
      <w:pPr>
        <w:pStyle w:val="Heading1"/>
      </w:pPr>
      <w:r>
        <w:t>论文速读</w:t>
      </w:r>
    </w:p>
    <w:p>
      <w:pPr>
        <w:pStyle w:val="Heading2"/>
      </w:pPr>
      <w:r>
        <w:t>Nature 系列</w:t>
      </w:r>
    </w:p>
    <w:p>
      <w:pPr>
        <w:pStyle w:val="Heading3"/>
      </w:pPr>
      <w:r>
        <w:rPr>
          <w:rFonts w:ascii="Microsoft YaHei" w:hAnsi="Microsoft YaHei" w:eastAsia="Microsoft YaHei"/>
          <w:b/>
        </w:rPr>
        <w:t>1. Marine primary production enhances removal of hydrophobic organic contaminants from Eurasian Arctic shelf waters</w:t>
      </w:r>
    </w:p>
    <w:p>
      <w:r>
        <w:rPr>
          <w:rFonts w:ascii="Microsoft YaHei" w:hAnsi="Microsoft YaHei" w:eastAsia="Microsoft YaHei"/>
          <w:color w:val="55697D"/>
          <w:sz w:val="18"/>
        </w:rPr>
        <w:t>作者：Xiaodi Shi; Laurent Oziel; Jonathan P. Benskin; Örjan Gustafsson; Anna Sobek</w:t>
      </w:r>
    </w:p>
    <w:p>
      <w:r>
        <w:rPr>
          <w:rFonts w:ascii="Microsoft YaHei" w:hAnsi="Microsoft YaHei" w:eastAsia="Microsoft YaHei"/>
          <w:color w:val="55697D"/>
          <w:sz w:val="18"/>
        </w:rPr>
        <w:t>期刊：Nature</w:t>
      </w:r>
    </w:p>
    <w:p>
      <w:r>
        <w:rPr>
          <w:rFonts w:ascii="Microsoft YaHei" w:hAnsi="Microsoft YaHei" w:eastAsia="Microsoft YaHei"/>
          <w:color w:val="55697D"/>
          <w:sz w:val="18"/>
        </w:rPr>
        <w:t>发表月份：2026-10</w:t>
      </w:r>
    </w:p>
    <w:p>
      <w:r>
        <w:rPr>
          <w:rFonts w:ascii="Microsoft YaHei" w:hAnsi="Microsoft YaHei" w:eastAsia="Microsoft YaHei"/>
          <w:color w:val="55697D"/>
          <w:sz w:val="18"/>
        </w:rPr>
        <w:t>DOI：10.1038/s41467-026-78857-3</w:t>
      </w:r>
    </w:p>
    <w:p>
      <w:r>
        <w:rPr>
          <w:rFonts w:ascii="Microsoft YaHei" w:hAnsi="Microsoft YaHei" w:eastAsia="Microsoft YaHei"/>
          <w:b/>
          <w:sz w:val="19"/>
        </w:rPr>
        <w:t>关键词：ocean biogeochemistry</w:t>
      </w:r>
    </w:p>
    <w:p>
      <w:r>
        <w:rPr>
          <w:rFonts w:ascii="Microsoft YaHei" w:hAnsi="Microsoft YaHei" w:eastAsia="Microsoft YaHei"/>
          <w:sz w:val="17"/>
        </w:rPr>
        <w:t>摘要：在有机碳（OC）循环的驱动下，全球海洋储存了大量人造持久性疏水性有机污染物（HOC）。尽管有机物成分多种多样，但在评估 HOC 命运时，散装 OC 通常被视为统一的吸附剂。关于控制有机物吸附 HOC 变化的因素仍然存在很大的不确定性。利用欧亚北极大陆架的表层沉积物，跨越从陆地到海洋的有机碳连续体，我们发现每单位海洋来源的有机碳的多氯联苯浓度比每单位陆地有机碳的浓度高出一个数量级。将这些经验关系与最先进的海洋生物地球化学模型相结合表明，气候驱动的欧亚北极陆架海洋初级生产力的增加导致水体中 HOC 的去除量增加了 1. 3 倍。 这些发现表明，OC 的数量和质量都控制着沉积物 HOC 汇，气候引起的 OC 循环变化可能会重塑北冰洋 HOC 的命运。</w:t>
      </w:r>
    </w:p>
    <w:p>
      <w:r>
        <w:rPr>
          <w:rFonts w:ascii="Microsoft YaHei" w:hAnsi="Microsoft YaHei" w:eastAsia="Microsoft YaHei"/>
          <w:color w:val="0563C1"/>
          <w:sz w:val="18"/>
        </w:rPr>
        <w:t>链接：https://doi.org/10.1038/s41467-026-78857-3</w:t>
      </w:r>
    </w:p>
    <w:p>
      <w:pPr>
        <w:pStyle w:val="Heading2"/>
      </w:pPr>
      <w:r>
        <w:t>重点关注团队</w:t>
      </w:r>
    </w:p>
    <w:p>
      <w:pPr>
        <w:pStyle w:val="Heading3"/>
      </w:pPr>
      <w:r>
        <w:rPr>
          <w:rFonts w:ascii="Microsoft YaHei" w:hAnsi="Microsoft YaHei" w:eastAsia="Microsoft YaHei"/>
          <w:b/>
        </w:rPr>
        <w:t>2. Scenario-Based Optimization of Net Irrigation for Winter Wheat in the Huaihe Basin, China, Using AquaCrop-OSPy Constrained by Multi-Source Remote Sensing</w:t>
      </w:r>
    </w:p>
    <w:p>
      <w:r>
        <w:rPr>
          <w:rFonts w:ascii="Microsoft YaHei" w:hAnsi="Microsoft YaHei" w:eastAsia="Microsoft YaHei"/>
          <w:color w:val="55697D"/>
          <w:sz w:val="18"/>
        </w:rPr>
        <w:t>作者：Chengli Zhu; Xin Tu; Mingyi Huang; Duyuan Li; Yaming Zhai; Wei Du</w:t>
      </w:r>
    </w:p>
    <w:p>
      <w:r>
        <w:rPr>
          <w:rFonts w:ascii="Microsoft YaHei" w:hAnsi="Microsoft YaHei" w:eastAsia="Microsoft YaHei"/>
          <w:color w:val="55697D"/>
          <w:sz w:val="18"/>
        </w:rPr>
        <w:t>期刊：Agronomy</w:t>
      </w:r>
    </w:p>
    <w:p>
      <w:r>
        <w:rPr>
          <w:rFonts w:ascii="Microsoft YaHei" w:hAnsi="Microsoft YaHei" w:eastAsia="Microsoft YaHei"/>
          <w:color w:val="55697D"/>
          <w:sz w:val="18"/>
        </w:rPr>
        <w:t>发表月份：2026-10</w:t>
      </w:r>
    </w:p>
    <w:p>
      <w:r>
        <w:rPr>
          <w:rFonts w:ascii="Microsoft YaHei" w:hAnsi="Microsoft YaHei" w:eastAsia="Microsoft YaHei"/>
          <w:color w:val="55697D"/>
          <w:sz w:val="18"/>
        </w:rPr>
        <w:t>DOI：10.3390/agronomy16212081</w:t>
      </w:r>
    </w:p>
    <w:p>
      <w:r>
        <w:rPr>
          <w:rFonts w:ascii="Microsoft YaHei" w:hAnsi="Microsoft YaHei" w:eastAsia="Microsoft YaHei"/>
          <w:b/>
          <w:sz w:val="19"/>
        </w:rPr>
        <w:t>关键词：ocean colour</w:t>
      </w:r>
    </w:p>
    <w:p>
      <w:r>
        <w:rPr>
          <w:rFonts w:ascii="Microsoft YaHei" w:hAnsi="Microsoft YaHei" w:eastAsia="Microsoft YaHei"/>
          <w:sz w:val="17"/>
        </w:rPr>
        <w:t>摘要：空间异质性和稀疏的管理观测使区域灌溉规划变得复杂。我们使用高斯过程贝叶斯优化，通过遥感冠层覆盖 (CC) 和实际蒸散量 (ETa) 以及网格剖面土壤湿度 (SM) 来约束 AquaCrop-OSPy。区域模拟覆盖了中国淮河流域 500 m 的单元，冬小麦覆盖率至少为 70%。优化了四个特定阶段的灌溉阈值，以最大限度地提高灌溉用水生产率，同时保持模型定义的参考产量的至少 95%。三个单独校准的历史生长季节代表干燥、正常和潮湿条件。根据四个生长季节的现场观察进行单独评估，地上生物量的归一化均方根误差 (NRMSE) 为 18。 29%，4. 粮食产量54%；县级产量 NRMSE 范围为 12. 58% 至 15. 88%。以年冬小麦分数作为面积权重，小麦灌区平均季节性灌溉深度分别为 154. 98、119. 48 和 64. 09 mm，相应的净灌溉量分别为 5. 73 × 109、3. 81 × 109 和 1. 16 × 109 m3。排除违反 SM 或 ETa 误差标准的单元格，剩余域的体积减少到 5. 01 × 109、3. 30 × 109 和 1. 06 × 109 m3。干旱条件下，集中在播种出苗和开花灌浆期；正常和湿润条件下，集中在播种出苗和拔节抽穗期。平均模拟产量达到参考产量的 96. 67% 至 97. 57%。 这些模型得出的估计描述了在指定目标和产量约束下的优化净灌溉，而不是最低灌溉要求或独立验证的时间表。情景差异共同反映了气候、初始条件、校准参数和年度空间覆盖范围。</w:t>
      </w:r>
    </w:p>
    <w:p>
      <w:r>
        <w:rPr>
          <w:rFonts w:ascii="Microsoft YaHei" w:hAnsi="Microsoft YaHei" w:eastAsia="Microsoft YaHei"/>
          <w:color w:val="0563C1"/>
          <w:sz w:val="18"/>
        </w:rPr>
        <w:t>链接：https://doi.org/10.3390/agronomy16212081</w:t>
      </w:r>
    </w:p>
    <w:p>
      <w:pPr>
        <w:pStyle w:val="Heading2"/>
      </w:pPr>
      <w:r>
        <w:t>其他相关期刊：按主题相关性补充</w:t>
      </w:r>
    </w:p>
    <w:p>
      <w:pPr>
        <w:pStyle w:val="Heading3"/>
      </w:pPr>
      <w:r>
        <w:rPr>
          <w:rFonts w:ascii="Microsoft YaHei" w:hAnsi="Microsoft YaHei" w:eastAsia="Microsoft YaHei"/>
          <w:b/>
        </w:rPr>
        <w:t>3. Seasonal stratification almost totally decouples surface and subsurface marine heatwave regimes on a temperate shelf sea</w:t>
      </w:r>
    </w:p>
    <w:p>
      <w:r>
        <w:rPr>
          <w:rFonts w:ascii="Microsoft YaHei" w:hAnsi="Microsoft YaHei" w:eastAsia="Microsoft YaHei"/>
          <w:color w:val="55697D"/>
          <w:sz w:val="18"/>
        </w:rPr>
        <w:t>作者：Robert Wilson; Juliane Wihsgott; Susan Kay; Dale Partridge; Andrea Rochner</w:t>
      </w:r>
    </w:p>
    <w:p>
      <w:r>
        <w:rPr>
          <w:rFonts w:ascii="Microsoft YaHei" w:hAnsi="Microsoft YaHei" w:eastAsia="Microsoft YaHei"/>
          <w:color w:val="55697D"/>
          <w:sz w:val="18"/>
        </w:rPr>
        <w:t>期刊：Environmental Research Communications</w:t>
      </w:r>
    </w:p>
    <w:p>
      <w:r>
        <w:rPr>
          <w:rFonts w:ascii="Microsoft YaHei" w:hAnsi="Microsoft YaHei" w:eastAsia="Microsoft YaHei"/>
          <w:color w:val="55697D"/>
          <w:sz w:val="18"/>
        </w:rPr>
        <w:t>发表月份：2026-10</w:t>
      </w:r>
    </w:p>
    <w:p>
      <w:r>
        <w:rPr>
          <w:rFonts w:ascii="Microsoft YaHei" w:hAnsi="Microsoft YaHei" w:eastAsia="Microsoft YaHei"/>
          <w:color w:val="55697D"/>
          <w:sz w:val="18"/>
        </w:rPr>
        <w:t>DOI：10.1088/2515-7620/aeb868</w:t>
      </w:r>
    </w:p>
    <w:p>
      <w:r>
        <w:rPr>
          <w:rFonts w:ascii="Microsoft YaHei" w:hAnsi="Microsoft YaHei" w:eastAsia="Microsoft YaHei"/>
          <w:b/>
          <w:sz w:val="19"/>
        </w:rPr>
        <w:t>关键词：marine heatwaves; vertical structure</w:t>
      </w:r>
    </w:p>
    <w:p>
      <w:r>
        <w:rPr>
          <w:rFonts w:ascii="Microsoft YaHei" w:hAnsi="Microsoft YaHei" w:eastAsia="Microsoft YaHei"/>
          <w:sz w:val="17"/>
        </w:rPr>
        <w:t>摘要：海洋热浪（MHW）对海洋生态系统构成的威胁正在迅速增长。从历史上看，MHW 监测主要集中在海面，但我们对其如何转化为具有重要经济意义的陆架海地下生态系统的理解有限。在这里，我们使用 1993-2023 年的后报、卫星数据和现场观测来评估表层重金属水体穿透水柱并与西北欧洲大陆架较深水域中的重水物同时发生的程度。地表和地下 (&gt;30m) MHW 共同发生的速率随季节和分层状况的不同而变化很大。在冬季和全年的混合水域中，由于多余的热量分布在整个水体中，所有水域中几乎 100% 的地表 MHW 都会同时出现地下 MHW。 相比之下，在夏季的分层水域中，表层和深层 MHW 状况几乎完全脱节，只有 10% 的表层 MHW 与地下 (&gt;30m) MHW 共存。观测数据证实了这一点，观测数据显示深水（&gt;30m）的温度异常在分层水域表层 MHW 的内部和外部几乎相同。混合层动力学和温度历史被证明是地表高热浪垂直范围的关键控制因素，地表高热浪的穿透深度与混合层深度、地表风速和中期气温历史呈正相关。因此，水柱分层对表面MHW向下传播起到了强有力的屏障作用，限制了它们穿透水柱的程度。 因此，当温度处于最极端时，海面的 MHW 国家可以提供有关陆架海的有限且可能具有误导性的信息。因此，海洋热浪监测应定期延伸到海面以外。</w:t>
      </w:r>
    </w:p>
    <w:p>
      <w:r>
        <w:rPr>
          <w:rFonts w:ascii="Microsoft YaHei" w:hAnsi="Microsoft YaHei" w:eastAsia="Microsoft YaHei"/>
          <w:color w:val="0563C1"/>
          <w:sz w:val="18"/>
        </w:rPr>
        <w:t>链接：https://doi.org/10.1088/2515-7620/aeb868</w:t>
      </w:r>
    </w:p>
    <w:p>
      <w:pPr>
        <w:pStyle w:val="Heading3"/>
      </w:pPr>
      <w:r>
        <w:rPr>
          <w:rFonts w:ascii="Microsoft YaHei" w:hAnsi="Microsoft YaHei" w:eastAsia="Microsoft YaHei"/>
          <w:b/>
        </w:rPr>
        <w:t>4. Net primary productivity in the Gulf of California: spatio-temporal patterns and drivers in a warming climate (2003–2024)</w:t>
      </w:r>
    </w:p>
    <w:p>
      <w:r>
        <w:rPr>
          <w:rFonts w:ascii="Microsoft YaHei" w:hAnsi="Microsoft YaHei" w:eastAsia="Microsoft YaHei"/>
          <w:color w:val="55697D"/>
          <w:sz w:val="18"/>
        </w:rPr>
        <w:t>作者：Eduardo González-Rodríguez; Rafael Cervantes-Duarte; Juan David Acevedo-Acosta; Jaime Gómez-Gutiérrez</w:t>
      </w:r>
    </w:p>
    <w:p>
      <w:r>
        <w:rPr>
          <w:rFonts w:ascii="Microsoft YaHei" w:hAnsi="Microsoft YaHei" w:eastAsia="Microsoft YaHei"/>
          <w:color w:val="55697D"/>
          <w:sz w:val="18"/>
        </w:rPr>
        <w:t>期刊：Ocean Science</w:t>
      </w:r>
    </w:p>
    <w:p>
      <w:r>
        <w:rPr>
          <w:rFonts w:ascii="Microsoft YaHei" w:hAnsi="Microsoft YaHei" w:eastAsia="Microsoft YaHei"/>
          <w:color w:val="55697D"/>
          <w:sz w:val="18"/>
        </w:rPr>
        <w:t>发表月份：2026-10</w:t>
      </w:r>
    </w:p>
    <w:p>
      <w:r>
        <w:rPr>
          <w:rFonts w:ascii="Microsoft YaHei" w:hAnsi="Microsoft YaHei" w:eastAsia="Microsoft YaHei"/>
          <w:color w:val="55697D"/>
          <w:sz w:val="18"/>
        </w:rPr>
        <w:t>DOI：10.5194/os-22-3385-2026</w:t>
      </w:r>
    </w:p>
    <w:p>
      <w:r>
        <w:rPr>
          <w:rFonts w:ascii="Microsoft YaHei" w:hAnsi="Microsoft YaHei" w:eastAsia="Microsoft YaHei"/>
          <w:b/>
          <w:sz w:val="19"/>
        </w:rPr>
        <w:t>关键词：marine heatwaves</w:t>
      </w:r>
    </w:p>
    <w:p>
      <w:r>
        <w:rPr>
          <w:rFonts w:ascii="Microsoft YaHei" w:hAnsi="Microsoft YaHei" w:eastAsia="Microsoft YaHei"/>
          <w:sz w:val="17"/>
        </w:rPr>
        <w:t>摘要：加利福尼亚湾是一个热带-亚热带、生产力高、生物多样性丰富的海洋生态系统，支撑着墨西哥近 70% 的渔业。尽管其具有生态和社会经济重要性，但净初级生产力（NPP）的季节性和年际空间变异的流域规模模式和驱动因素仍未完全了解。在这里，我们分析了 22 年（2003-2024 年）卫星衍生的 NPP 数据，以确定 NPP 的主要时空模式及其环境控制。月度气候显示，冷季（12月至5月）贡献了年NPP的68%，而暖季（6月至11月）仅占32%。 为了表征区域变异性，我们应用了 k-means++ 聚类算法，使用肘部和轮廓标准选择最佳聚类数量，并通过判别分析验证结果分类。该程序确定了三个不同的生产力区域：低生产力（LPZ；1700 mgCm-2d-1）。年际间，LPZ 覆盖了 36% 的面积，但仅产生 NPP 总量的 16. 9%，而 HPZ 贡献了 NPP 总量的 61. 4%，但仅占据了海湾面积的 30%。 2013-2019 年期间明显的 NPP 负异常使 NPP 相对于长期平均值（124 Tg C yr -1 ）减少了约 9%。这种下降与持续的海洋变暖同时发生，包括多次海洋热浪和 2015-2016 年强烈的厄尔尼诺事件。 2020 年至 2024 年期间出现部分复苏。 硝酸盐有效性和水柱分层是 NPP 的主要预测因子，但它们的影响在不同生产力区有所不同：在 LPZ 中，硝酸盐与 NPP 呈负相关，分层指数与 NPP 呈正相关，而在 MPZ 和 HPZ 中观察到相反的关系。风力、海面盐度和磷酸盐可用性产生了额外的区域特定影响。总的来说，我们的结果表明，异常温暖的条件减少了高压区的空间范围，有利于贫营养区的扩张。因此，持续变暖和层化加剧预计将增加LPZ的范围，从而对加利福尼亚湾产生潜在的重大生态后果。</w:t>
      </w:r>
    </w:p>
    <w:p>
      <w:r>
        <w:rPr>
          <w:rFonts w:ascii="Microsoft YaHei" w:hAnsi="Microsoft YaHei" w:eastAsia="Microsoft YaHei"/>
          <w:color w:val="0563C1"/>
          <w:sz w:val="18"/>
        </w:rPr>
        <w:t>链接：https://doi.org/10.5194/os-22-3385-2026</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4D7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