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检索日期：2026-08-08 | GitHub Actions 自动生成</w:t>
      </w:r>
    </w:p>
    <w:p>
      <w:pPr>
        <w:pStyle w:val="Heading1"/>
      </w:pPr>
      <w:r>
        <w:t>今日总览</w:t>
      </w:r>
    </w:p>
    <w:p>
      <w:r>
        <w:rPr>
          <w:rFonts w:ascii="Microsoft YaHei" w:hAnsi="Microsoft YaHei" w:eastAsia="Microsoft YaHei"/>
        </w:rPr>
        <w:t>历史去重后今日新增 4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Connecting models, networks, and experiments: Revisiting the role of viruses in marine carbon cycling</w:t>
      </w:r>
    </w:p>
    <w:p>
      <w:r>
        <w:rPr>
          <w:rFonts w:ascii="Microsoft YaHei" w:hAnsi="Microsoft YaHei" w:eastAsia="Microsoft YaHei"/>
          <w:color w:val="55697D"/>
          <w:sz w:val="18"/>
        </w:rPr>
        <w:t>作者：Maxine Pruvôt; Bart Haegeman; Fabien Joux; David Demory</w:t>
      </w:r>
    </w:p>
    <w:p>
      <w:r>
        <w:rPr>
          <w:rFonts w:ascii="Microsoft YaHei" w:hAnsi="Microsoft YaHei" w:eastAsia="Microsoft YaHei"/>
          <w:color w:val="55697D"/>
          <w:sz w:val="18"/>
        </w:rPr>
        <w:t>期刊：Limnology and Oceanography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DOI：10.1002/lno.70472</w:t>
      </w:r>
    </w:p>
    <w:p>
      <w:r>
        <w:rPr>
          <w:rFonts w:ascii="Microsoft YaHei" w:hAnsi="Microsoft YaHei" w:eastAsia="Microsoft YaHei"/>
          <w:b/>
          <w:sz w:val="19"/>
        </w:rPr>
        <w:t>关键词：phytoplankton; microbial carbon</w:t>
      </w:r>
    </w:p>
    <w:p>
      <w:r>
        <w:rPr>
          <w:rFonts w:ascii="Microsoft YaHei" w:hAnsi="Microsoft YaHei" w:eastAsia="Microsoft YaHei"/>
          <w:sz w:val="17"/>
        </w:rPr>
        <w:t>摘要：海洋微生物食物网是全球碳循环的关键驱动因素，调节海洋有机物的生产、消耗和再矿化。在这个食物网中，病毒通过感染和裂解浮游植物和异养细菌来发挥强大的自上而下的控制作用。尽管病毒引起的死亡率被认为是影响微生物动态的一个因素，但准确量化其对碳循环的贡献仍然很困难。已使用一系列方法来估计这种贡献，特别是：（1）动态微生物生态系统模型，（2）静态碳通量网络模型，以及（3）病毒引起的死亡率的直接测量，例如稀释测定。在这项研究中，我们将这些方法整合到一个共同的数学框架中。 这使我们能够澄清文献中两种裂解百分比概念之间的差异，比较以前的动力系统和通量网络模型的预测，并批判性地评估从系统中消除病毒的理论方法以探索其效果。我们的分析阐明了不同的方法如何捕捉海洋病毒在不同空间和时间尺度的碳循环中的作用的互补方面。</w:t>
      </w:r>
    </w:p>
    <w:p>
      <w:r>
        <w:rPr>
          <w:rFonts w:ascii="Microsoft YaHei" w:hAnsi="Microsoft YaHei" w:eastAsia="Microsoft YaHei"/>
          <w:color w:val="0563C1"/>
          <w:sz w:val="18"/>
        </w:rPr>
        <w:t>链接：https://doi.org/10.1002/lno.70472</w:t>
      </w:r>
    </w:p>
    <w:p>
      <w:pPr>
        <w:pStyle w:val="Heading2"/>
      </w:pPr>
      <w:r>
        <w:t>重点关注团队</w:t>
      </w:r>
    </w:p>
    <w:p>
      <w:pPr>
        <w:pStyle w:val="Heading3"/>
      </w:pPr>
      <w:r>
        <w:rPr>
          <w:rFonts w:ascii="Microsoft YaHei" w:hAnsi="Microsoft YaHei" w:eastAsia="Microsoft YaHei"/>
          <w:b/>
        </w:rPr>
        <w:t>2. From longitudinal dispersal to vertical sequestration: Hydraulic regulation drives divergent antibiotic fates via suspended particulate matter dynamics across natural and engineered waterways</w:t>
      </w:r>
    </w:p>
    <w:p>
      <w:r>
        <w:rPr>
          <w:rFonts w:ascii="Microsoft YaHei" w:hAnsi="Microsoft YaHei" w:eastAsia="Microsoft YaHei"/>
          <w:color w:val="55697D"/>
          <w:sz w:val="18"/>
        </w:rPr>
        <w:t>作者：Yang Cui; Hui Xie; Jianwei Dong; Meiqi Shang; Shiya Gu; Wu Wen</w:t>
      </w:r>
    </w:p>
    <w:p>
      <w:r>
        <w:rPr>
          <w:rFonts w:ascii="Microsoft YaHei" w:hAnsi="Microsoft YaHei" w:eastAsia="Microsoft YaHei"/>
          <w:color w:val="55697D"/>
          <w:sz w:val="18"/>
        </w:rPr>
        <w:t>期刊：Journal of Hydrology</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DOI：10.1016/j.jhydrol.2026.136188</w:t>
      </w:r>
    </w:p>
    <w:p>
      <w:r>
        <w:rPr>
          <w:rFonts w:ascii="Microsoft YaHei" w:hAnsi="Microsoft YaHei" w:eastAsia="Microsoft YaHei"/>
          <w:b/>
          <w:sz w:val="19"/>
        </w:rPr>
        <w:t>关键词：vertical structure</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链接：https://doi.org/10.1016/j.jhydrol.2026.136188</w:t>
      </w:r>
    </w:p>
    <w:p>
      <w:pPr>
        <w:pStyle w:val="Heading3"/>
      </w:pPr>
      <w:r>
        <w:rPr>
          <w:rFonts w:ascii="Microsoft YaHei" w:hAnsi="Microsoft YaHei" w:eastAsia="Microsoft YaHei"/>
          <w:b/>
        </w:rPr>
        <w:t>3. Suspended Particulate Matter Acts as a Co-Stressor to Amplify Imidacloprid Impacts in Estuarine Mussels</w:t>
      </w:r>
    </w:p>
    <w:p>
      <w:r>
        <w:rPr>
          <w:rFonts w:ascii="Microsoft YaHei" w:hAnsi="Microsoft YaHei" w:eastAsia="Microsoft YaHei"/>
          <w:color w:val="55697D"/>
          <w:sz w:val="18"/>
        </w:rPr>
        <w:t>作者：Fuwen Liu; Xue Cao; Ya Hao; Ziqin Li; Chenyang Zhang; Xingming Chen; Lei Zhou</w:t>
      </w:r>
    </w:p>
    <w:p>
      <w:r>
        <w:rPr>
          <w:rFonts w:ascii="Microsoft YaHei" w:hAnsi="Microsoft YaHei" w:eastAsia="Microsoft YaHei"/>
          <w:color w:val="55697D"/>
          <w:sz w:val="18"/>
        </w:rPr>
        <w:t>期刊：Journal of Hazardous Materials</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DOI：10.1016/j.jhazmat.2026.143245</w:t>
      </w:r>
    </w:p>
    <w:p>
      <w:r>
        <w:rPr>
          <w:rFonts w:ascii="Microsoft YaHei" w:hAnsi="Microsoft YaHei" w:eastAsia="Microsoft YaHei"/>
          <w:b/>
          <w:sz w:val="19"/>
        </w:rPr>
        <w:t>关键词：ocean biogeochemistry</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链接：https://doi.org/10.1016/j.jhazmat.2026.143245</w:t>
      </w:r>
    </w:p>
    <w:p>
      <w:pPr>
        <w:pStyle w:val="Heading2"/>
      </w:pPr>
      <w:r>
        <w:t>其他相关期刊：按主题相关性补充</w:t>
      </w:r>
    </w:p>
    <w:p>
      <w:pPr>
        <w:pStyle w:val="Heading3"/>
      </w:pPr>
      <w:r>
        <w:rPr>
          <w:rFonts w:ascii="Microsoft YaHei" w:hAnsi="Microsoft YaHei" w:eastAsia="Microsoft YaHei"/>
          <w:b/>
        </w:rPr>
        <w:t>4. Near-to-far-field transition distance of backscattering from prolate spheroids and fish</w:t>
      </w:r>
    </w:p>
    <w:p>
      <w:r>
        <w:rPr>
          <w:rFonts w:ascii="Microsoft YaHei" w:hAnsi="Microsoft YaHei" w:eastAsia="Microsoft YaHei"/>
          <w:color w:val="55697D"/>
          <w:sz w:val="18"/>
        </w:rPr>
        <w:t>作者：Masahiko Furusawa</w:t>
      </w:r>
    </w:p>
    <w:p>
      <w:r>
        <w:rPr>
          <w:rFonts w:ascii="Microsoft YaHei" w:hAnsi="Microsoft YaHei" w:eastAsia="Microsoft YaHei"/>
          <w:color w:val="55697D"/>
          <w:sz w:val="18"/>
        </w:rPr>
        <w:t>期刊：The Journal of the Acoustical Society of America</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DOI：10.1121/10.0044568</w:t>
      </w:r>
    </w:p>
    <w:p>
      <w:r>
        <w:rPr>
          <w:rFonts w:ascii="Microsoft YaHei" w:hAnsi="Microsoft YaHei" w:eastAsia="Microsoft YaHei"/>
          <w:b/>
          <w:sz w:val="19"/>
        </w:rPr>
        <w:t>关键词：backscattering</w:t>
      </w:r>
    </w:p>
    <w:p>
      <w:r>
        <w:rPr>
          <w:rFonts w:ascii="Microsoft YaHei" w:hAnsi="Microsoft YaHei" w:eastAsia="Microsoft YaHei"/>
          <w:sz w:val="17"/>
        </w:rPr>
        <w:t>摘要：使用长球体散射振幅方程，推导出来自球体和鱼的反向散射波的近场到远场过渡距离。此外，Pérez-Arjona、Godinho和Espinosa对大西洋鲑鱼（Salmo salar）的目标强度分析得到了过渡距离[Acta Acustica, 104, 25–38 (2018)]，采用基本解的方法，结果与球体模型的结果一致。为了实际使用，根据几个定义由球体模型导出的过渡距离被合成为体长（L）与水中波长（λ）比率的近似函数，即。 e. ，0。025L/λ1。 4、超声波换能器的过渡距离公式不应该用来估计鱼的过渡距离。</w:t>
      </w:r>
    </w:p>
    <w:p>
      <w:r>
        <w:rPr>
          <w:rFonts w:ascii="Microsoft YaHei" w:hAnsi="Microsoft YaHei" w:eastAsia="Microsoft YaHei"/>
          <w:color w:val="0563C1"/>
          <w:sz w:val="18"/>
        </w:rPr>
        <w:t>链接：https://doi.org/10.1121/10.0044568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