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检索日期：2026-10-31 | GitHub Actions 自动生成</w:t>
      </w:r>
    </w:p>
    <w:p>
      <w:pPr>
        <w:pStyle w:val="Heading1"/>
      </w:pPr>
      <w:r>
        <w:t>今日总览</w:t>
      </w:r>
    </w:p>
    <w:p>
      <w:r>
        <w:rPr>
          <w:rFonts w:ascii="Microsoft YaHei" w:hAnsi="Microsoft YaHei" w:eastAsia="Microsoft YaHei"/>
        </w:rPr>
        <w:t>历史去重后今日新增 5 篇。排序规则：Nature 系列、Science 系列、其余重点期刊、重点关注团队、其他相关补充论文。</w:t>
      </w:r>
    </w:p>
    <w:p>
      <w:pPr>
        <w:pStyle w:val="Heading1"/>
      </w:pPr>
      <w:r>
        <w:t>论文速读</w:t>
      </w:r>
    </w:p>
    <w:p>
      <w:pPr>
        <w:pStyle w:val="Heading2"/>
      </w:pPr>
      <w:r>
        <w:t>Science 系列</w:t>
      </w:r>
    </w:p>
    <w:p>
      <w:pPr>
        <w:pStyle w:val="Heading3"/>
      </w:pPr>
      <w:r>
        <w:rPr>
          <w:rFonts w:ascii="Microsoft YaHei" w:hAnsi="Microsoft YaHei" w:eastAsia="Microsoft YaHei"/>
          <w:b/>
        </w:rPr>
        <w:t>1. C:H:N:O:P stoichiometry and oxygen demand of marine organic matter are driven by phytoplankton ecophysiology</w:t>
      </w:r>
    </w:p>
    <w:p>
      <w:r>
        <w:rPr>
          <w:rFonts w:ascii="Microsoft YaHei" w:hAnsi="Microsoft YaHei" w:eastAsia="Microsoft YaHei"/>
          <w:color w:val="55697D"/>
          <w:sz w:val="18"/>
        </w:rPr>
        <w:t>作者：Shlomit Sharoni; Keisuke Inomura; Stephanie Dutkiewicz; Oliver Jahn; Gregory L. Britten; Michael J. Follows</w:t>
      </w:r>
    </w:p>
    <w:p>
      <w:r>
        <w:rPr>
          <w:rFonts w:ascii="Microsoft YaHei" w:hAnsi="Microsoft YaHei" w:eastAsia="Microsoft YaHei"/>
          <w:color w:val="55697D"/>
          <w:sz w:val="18"/>
        </w:rPr>
        <w:t>期刊：Science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DOI：10.1126/sciadv.aeg6228</w:t>
      </w:r>
    </w:p>
    <w:p>
      <w:r>
        <w:rPr>
          <w:rFonts w:ascii="Microsoft YaHei" w:hAnsi="Microsoft YaHei" w:eastAsia="Microsoft YaHei"/>
          <w:b/>
          <w:sz w:val="19"/>
        </w:rPr>
        <w:t>关键词：phytoplankton</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链接：https://doi.org/10.1126/sciadv.aeg6228</w:t>
      </w:r>
    </w:p>
    <w:p>
      <w:pPr>
        <w:pStyle w:val="Heading2"/>
      </w:pPr>
      <w:r>
        <w:t>重点关注团队</w:t>
      </w:r>
    </w:p>
    <w:p>
      <w:pPr>
        <w:pStyle w:val="Heading3"/>
      </w:pPr>
      <w:r>
        <w:rPr>
          <w:rFonts w:ascii="Microsoft YaHei" w:hAnsi="Microsoft YaHei" w:eastAsia="Microsoft YaHei"/>
          <w:b/>
        </w:rPr>
        <w:t>2. The internal variability modulates marine heatwave duration changes by day-to-day ocean memory in the recent decades</w:t>
      </w:r>
    </w:p>
    <w:p>
      <w:r>
        <w:rPr>
          <w:rFonts w:ascii="Microsoft YaHei" w:hAnsi="Microsoft YaHei" w:eastAsia="Microsoft YaHei"/>
          <w:color w:val="55697D"/>
          <w:sz w:val="18"/>
        </w:rPr>
        <w:t>作者：Di Sun; Lu Dong; Fengfei Song; Zhao Jing; Shijie Zeng; Lixin Wu</w:t>
      </w:r>
    </w:p>
    <w:p>
      <w:r>
        <w:rPr>
          <w:rFonts w:ascii="Microsoft YaHei" w:hAnsi="Microsoft YaHei" w:eastAsia="Microsoft YaHei"/>
          <w:color w:val="55697D"/>
          <w:sz w:val="18"/>
        </w:rPr>
        <w:t>期刊：Journal of Climate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DOI：10.1175/jcli-d-26-0002.1</w:t>
      </w:r>
    </w:p>
    <w:p>
      <w:r>
        <w:rPr>
          <w:rFonts w:ascii="Microsoft YaHei" w:hAnsi="Microsoft YaHei" w:eastAsia="Microsoft YaHei"/>
          <w:b/>
          <w:sz w:val="19"/>
        </w:rPr>
        <w:t>关键词：marine heatwaves</w:t>
      </w:r>
    </w:p>
    <w:p>
      <w:r>
        <w:rPr>
          <w:rFonts w:ascii="Microsoft YaHei" w:hAnsi="Microsoft YaHei" w:eastAsia="Microsoft YaHei"/>
          <w:sz w:val="17"/>
        </w:rPr>
        <w:t>摘要：研究主要分析变化趋势、事件响应、驱动机制或方法表现，并把观测结果与生态和生物地球化学过程联系起来。 核心结果帮助说明海洋热浪如何通过强度、持续时间或垂向结构影响生态和碳循环过程。</w:t>
      </w:r>
    </w:p>
    <w:p>
      <w:r>
        <w:rPr>
          <w:rFonts w:ascii="Microsoft YaHei" w:hAnsi="Microsoft YaHei" w:eastAsia="Microsoft YaHei"/>
          <w:color w:val="0563C1"/>
          <w:sz w:val="18"/>
        </w:rPr>
        <w:t>链接：https://doi.org/10.1175/jcli-d-26-0002.1</w:t>
      </w:r>
    </w:p>
    <w:p>
      <w:pPr>
        <w:pStyle w:val="Heading3"/>
      </w:pPr>
      <w:r>
        <w:rPr>
          <w:rFonts w:ascii="Microsoft YaHei" w:hAnsi="Microsoft YaHei" w:eastAsia="Microsoft YaHei"/>
          <w:b/>
        </w:rPr>
        <w:t>3. The case against renewed ocean iron fertilization field trials</w:t>
      </w:r>
    </w:p>
    <w:p>
      <w:r>
        <w:rPr>
          <w:rFonts w:ascii="Microsoft YaHei" w:hAnsi="Microsoft YaHei" w:eastAsia="Microsoft YaHei"/>
          <w:color w:val="55697D"/>
          <w:sz w:val="18"/>
        </w:rPr>
        <w:t>作者：Mathieu A. Poupon; Patrick C. Gray; Alessandro Tagliabue; John J. Cullen; Yeala Shaked; Guillaume Bourdin; Lee Karp-Boss; Oscar Schofield; et al.</w:t>
      </w:r>
    </w:p>
    <w:p>
      <w:r>
        <w:rPr>
          <w:rFonts w:ascii="Microsoft YaHei" w:hAnsi="Microsoft YaHei" w:eastAsia="Microsoft YaHei"/>
          <w:color w:val="55697D"/>
          <w:sz w:val="18"/>
        </w:rPr>
        <w:t>期刊：Dialogues on Climate Change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DOI：10.1177/29768659261498319</w:t>
      </w:r>
    </w:p>
    <w:p>
      <w:r>
        <w:rPr>
          <w:rFonts w:ascii="Microsoft YaHei" w:hAnsi="Microsoft YaHei" w:eastAsia="Microsoft YaHei"/>
          <w:b/>
          <w:sz w:val="19"/>
        </w:rPr>
        <w:t>关键词：carbon pump</w:t>
      </w:r>
    </w:p>
    <w:p>
      <w:r>
        <w:rPr>
          <w:rFonts w:ascii="Microsoft YaHei" w:hAnsi="Microsoft YaHei" w:eastAsia="Microsoft YaHei"/>
          <w:sz w:val="17"/>
        </w:rPr>
        <w:t>摘要：布塞勒等人。呼吁进行更大规模、更长时间的海洋铁施肥（OIF）试验，以评估与气候相关的二氧化碳去除潜力。我们认为，此类试验可能会记录当地生态系统的反应，但无法解决气候政策的两个核心不确定性：清除潜力和下游后果。大气CO 2 净去除量取决于碳输出、海气再平衡、循环、下游养分重新分配以及试验边界之外发生的生态系统响应。代表这些过程的全球模型一致发现去除潜力很低，现场试验无法推翻该证据。相同的模型确定了流域规模 OIF 对氧气和生态系统的延迟和远场影响，这些试验既无法评估也无法预防，从而推迟了对它们打算改进的模型的判断。 因此，逐步扩大 OIF 试验是没有根据的。相反，研究应该优先考虑对自然受精系统和更好模型的观察，这些模型可以在不故意扰动的情况下测试对 OIF 碳产量的控制。</w:t>
      </w:r>
    </w:p>
    <w:p>
      <w:r>
        <w:rPr>
          <w:rFonts w:ascii="Microsoft YaHei" w:hAnsi="Microsoft YaHei" w:eastAsia="Microsoft YaHei"/>
          <w:color w:val="0563C1"/>
          <w:sz w:val="18"/>
        </w:rPr>
        <w:t>链接：https://doi.org/10.1177/29768659261498319</w:t>
      </w:r>
    </w:p>
    <w:p>
      <w:pPr>
        <w:pStyle w:val="Heading3"/>
      </w:pPr>
      <w:r>
        <w:rPr>
          <w:rFonts w:ascii="Microsoft YaHei" w:hAnsi="Microsoft YaHei" w:eastAsia="Microsoft YaHei"/>
          <w:b/>
        </w:rPr>
        <w:t>4. Associations among wind forcing, upper-water-column density structure, and phytoplankton bloom dynamics on the Kodiak shelf</w:t>
      </w:r>
    </w:p>
    <w:p>
      <w:r>
        <w:rPr>
          <w:rFonts w:ascii="Microsoft YaHei" w:hAnsi="Microsoft YaHei" w:eastAsia="Microsoft YaHei"/>
          <w:color w:val="55697D"/>
          <w:sz w:val="18"/>
        </w:rPr>
        <w:t>作者：Timothy T. Wynne; Kari St.Laurent; Steven R. Kibler; Yizhen Li</w:t>
      </w:r>
    </w:p>
    <w:p>
      <w:r>
        <w:rPr>
          <w:rFonts w:ascii="Microsoft YaHei" w:hAnsi="Microsoft YaHei" w:eastAsia="Microsoft YaHei"/>
          <w:color w:val="55697D"/>
          <w:sz w:val="18"/>
        </w:rPr>
        <w:t>期刊：Estuarine, Coastal and Shelf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DOI：10.1016/j.ecss.2026.110357</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链接：https://doi.org/10.1016/j.ecss.2026.110357</w:t>
      </w:r>
    </w:p>
    <w:p>
      <w:pPr>
        <w:pStyle w:val="Heading3"/>
      </w:pPr>
      <w:r>
        <w:rPr>
          <w:rFonts w:ascii="Microsoft YaHei" w:hAnsi="Microsoft YaHei" w:eastAsia="Microsoft YaHei"/>
          <w:b/>
        </w:rPr>
        <w:t>5. The evolution of pore-fracture system in shale and its geological implications as investigated via in situ loading by synchrotron X-ray microtomography</w:t>
      </w:r>
    </w:p>
    <w:p>
      <w:r>
        <w:rPr>
          <w:rFonts w:ascii="Microsoft YaHei" w:hAnsi="Microsoft YaHei" w:eastAsia="Microsoft YaHei"/>
          <w:color w:val="55697D"/>
          <w:sz w:val="18"/>
        </w:rPr>
        <w:t>作者：Di Chen; Fujie Jiang; Renjie Zhao; Yongxi Li; Tingwei Guo; Yuan Li; Xiongqi Pang; Jing Bai; et al.</w:t>
      </w:r>
    </w:p>
    <w:p>
      <w:r>
        <w:rPr>
          <w:rFonts w:ascii="Microsoft YaHei" w:hAnsi="Microsoft YaHei" w:eastAsia="Microsoft YaHei"/>
          <w:color w:val="55697D"/>
          <w:sz w:val="18"/>
        </w:rPr>
        <w:t>期刊：Geological Society of America Bulletin</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DOI：10.1130/b37742.1</w:t>
      </w:r>
    </w:p>
    <w:p>
      <w:r>
        <w:rPr>
          <w:rFonts w:ascii="Microsoft YaHei" w:hAnsi="Microsoft YaHei" w:eastAsia="Microsoft YaHei"/>
          <w:b/>
          <w:sz w:val="19"/>
        </w:rPr>
        <w:t>关键词：vertical structure</w:t>
      </w:r>
    </w:p>
    <w:p>
      <w:r>
        <w:rPr>
          <w:rFonts w:ascii="Microsoft YaHei" w:hAnsi="Microsoft YaHei" w:eastAsia="Microsoft YaHei"/>
          <w:sz w:val="17"/>
        </w:rPr>
        <w:t>摘要：富含有机质页岩裂缝和孔隙网络的演化对于预测最佳点和优化页岩油气水力压裂开发至关重要，这与地应力密切相关。本文通过原位加载同步加速器 X 射线显微断层扫描技术对渤海湾盆地沙河街组页岩塞中微尺度孔隙裂缝网络的定量表征和演化进行了监测。页岩表现出明显的压实、压裂、破坏过程以及能量转换。使用 4-D 图像处理和数字体积相关性来捕获和量化孔隙-裂缝网络的萌生、闭合、破裂和生长。随着内部应变的增加，范围从-14％到9％，观察到明显的垂直压缩和水平膨胀。 初始微裂缝沿着低灰度值区域延伸，并伴随着新裂缝的形成。孔隙空间随着内部非均质性逐渐增加，初始孤立的孔隙空间逐渐增加互连性。空间簇是指岩石内部不同尺度的孔隙和微裂缝的综合体，根据几何形状进一步分为九种类型。诱发的孔隙和裂缝对与岩石岩性相关的孔隙度和渗透率有显着影响。诱导裂缝对孔隙度的贡献超过80%，对渗透率的贡献为36. 8%～59. 5%。然而，变形行为明显受到岩性和样品尺寸、应变率、温度和流体压力的影响。 我们的实验结果加深了对应力上升下富有机质页岩裂缝定量演化的认识，提出了构造枢纽带和超压区域油气富集的潜在新机制，并揭示了富有机质页岩原位压裂过程中裂缝的动态行为。</w:t>
      </w:r>
    </w:p>
    <w:p>
      <w:r>
        <w:rPr>
          <w:rFonts w:ascii="Microsoft YaHei" w:hAnsi="Microsoft YaHei" w:eastAsia="Microsoft YaHei"/>
          <w:color w:val="0563C1"/>
          <w:sz w:val="18"/>
        </w:rPr>
        <w:t>链接：https://doi.org/10.1130/b37742.1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