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7324D"/>
          <w:sz w:val="44"/>
        </w:rPr>
        <w:t>每日论文推送</w:t>
      </w:r>
    </w:p>
    <w:p>
      <w:pPr>
        <w:jc w:val="center"/>
      </w:pPr>
      <w:r>
        <w:rPr>
          <w:rFonts w:ascii="Microsoft YaHei" w:hAnsi="Microsoft YaHei" w:eastAsia="Microsoft YaHei"/>
          <w:color w:val="55697D"/>
          <w:sz w:val="19"/>
        </w:rPr>
        <w:t>检索日期：2026-10-17 | GitHub Actions 自动生成</w:t>
      </w:r>
    </w:p>
    <w:p>
      <w:pPr>
        <w:pStyle w:val="Heading1"/>
      </w:pPr>
      <w:r>
        <w:t>今日总览</w:t>
      </w:r>
    </w:p>
    <w:p>
      <w:r>
        <w:rPr>
          <w:rFonts w:ascii="Microsoft YaHei" w:hAnsi="Microsoft YaHei" w:eastAsia="Microsoft YaHei"/>
        </w:rPr>
        <w:t>历史去重后今日新增 8 篇。排序规则：Nature 系列、Science 系列、其余重点期刊、重点关注团队、其他相关补充论文。</w:t>
      </w:r>
    </w:p>
    <w:p>
      <w:pPr>
        <w:pStyle w:val="Heading1"/>
      </w:pPr>
      <w:r>
        <w:t>论文速读</w:t>
      </w:r>
    </w:p>
    <w:p>
      <w:pPr>
        <w:pStyle w:val="Heading2"/>
      </w:pPr>
      <w:r>
        <w:t>重点期刊：按影响力和相关性排序</w:t>
      </w:r>
    </w:p>
    <w:p>
      <w:pPr>
        <w:pStyle w:val="Heading3"/>
      </w:pPr>
      <w:r>
        <w:rPr>
          <w:rFonts w:ascii="Microsoft YaHei" w:hAnsi="Microsoft YaHei" w:eastAsia="Microsoft YaHei"/>
          <w:b/>
        </w:rPr>
        <w:t>1. Gulf of Maine Marine Heatwaves in Eddy‐Resolving and Non‐Eddy Resolving Simulations</w:t>
      </w:r>
    </w:p>
    <w:p>
      <w:r>
        <w:rPr>
          <w:rFonts w:ascii="Microsoft YaHei" w:hAnsi="Microsoft YaHei" w:eastAsia="Microsoft YaHei"/>
          <w:color w:val="55697D"/>
          <w:sz w:val="18"/>
        </w:rPr>
        <w:t>作者：Rudradutt Thaker; Elizabeth Maroon; Anna‐Lena Deppenmeier; LuAnne Thompson</w:t>
      </w:r>
    </w:p>
    <w:p>
      <w:r>
        <w:rPr>
          <w:rFonts w:ascii="Microsoft YaHei" w:hAnsi="Microsoft YaHei" w:eastAsia="Microsoft YaHei"/>
          <w:color w:val="55697D"/>
          <w:sz w:val="18"/>
        </w:rPr>
        <w:t>期刊：Journal of Geophysical Research: Oceans</w:t>
      </w:r>
    </w:p>
    <w:p>
      <w:r>
        <w:rPr>
          <w:rFonts w:ascii="Microsoft YaHei" w:hAnsi="Microsoft YaHei" w:eastAsia="Microsoft YaHei"/>
          <w:color w:val="55697D"/>
          <w:sz w:val="18"/>
        </w:rPr>
        <w:t>发表月份：2026-10</w:t>
      </w:r>
    </w:p>
    <w:p>
      <w:r>
        <w:rPr>
          <w:rFonts w:ascii="Microsoft YaHei" w:hAnsi="Microsoft YaHei" w:eastAsia="Microsoft YaHei"/>
          <w:color w:val="55697D"/>
          <w:sz w:val="18"/>
        </w:rPr>
        <w:t>DOI：10.1029/2026jc024618</w:t>
      </w:r>
    </w:p>
    <w:p>
      <w:r>
        <w:rPr>
          <w:rFonts w:ascii="Microsoft YaHei" w:hAnsi="Microsoft YaHei" w:eastAsia="Microsoft YaHei"/>
          <w:b/>
          <w:sz w:val="19"/>
        </w:rPr>
        <w:t>关键词：marine heatwaves</w:t>
      </w:r>
    </w:p>
    <w:p>
      <w:r>
        <w:rPr>
          <w:rFonts w:ascii="Microsoft YaHei" w:hAnsi="Microsoft YaHei" w:eastAsia="Microsoft YaHei"/>
          <w:sz w:val="17"/>
        </w:rPr>
        <w:t>摘要：海洋热浪（MHW），即海洋温度长期异常升高，会产生重大的生态和社会经济后果。预测这些事件需要了解哪些大气和海洋过程控制其发生、持续和加剧。在这里，我们使用来自社区地球系统模型 (CESM) 的一对强制海洋-海冰 (FOSI) 模拟来分析缅因湾的两个主要 MHW（2011-12 和 2015-16）。一种模拟具有标称 0. 1° 海洋分辨率，足以解析缅因湾地区的中尺度涡流 (HR-FOSI)，而另一种模拟则使用 CESM 的标准标称 1° 分辨率海洋 (LR-FOSI)。 LR-FOSI 中缅因湾的平均状态较温暖且具有更深的混合层。 这些偏差是由扩散和向北移动的墨西哥湾流造成的，并且表明，尽管 MHW 是相对于每个模拟的气候学来定义的，但平均状态差异可能会导致 LR-FOSI 模拟中的 MHW 检测较早，并且与 HR-FOSI 模拟相比，强度较弱。 HR-FOSI 更好地捕获了两个 MHW 的观测时间和幅度。在这两个模拟中，表面热通量都会引发变暖，但 LR-FOSI 更深的混合层降低了对其更强的表面强迫的温度响应，从而导致类似的混合层加热。因此，海洋热传输的差异导致了不同的 MHW 响应。 HR-FOSI 中由平均平流和平流产生的更强的水平热传输维持并加剧了事件，而 LR-FOSI 中的参数化涡流效应则产生冷却。 这些结果表明，模拟的 MHW 演化取决于大气强迫以及海洋环流和混合的表征。</w:t>
      </w:r>
    </w:p>
    <w:p>
      <w:r>
        <w:rPr>
          <w:rFonts w:ascii="Microsoft YaHei" w:hAnsi="Microsoft YaHei" w:eastAsia="Microsoft YaHei"/>
          <w:color w:val="0563C1"/>
          <w:sz w:val="18"/>
        </w:rPr>
        <w:t>链接：https://doi.org/10.1029/2026jc024618</w:t>
      </w:r>
    </w:p>
    <w:p>
      <w:pPr>
        <w:pStyle w:val="Heading3"/>
      </w:pPr>
      <w:r>
        <w:rPr>
          <w:rFonts w:ascii="Microsoft YaHei" w:hAnsi="Microsoft YaHei" w:eastAsia="Microsoft YaHei"/>
          <w:b/>
        </w:rPr>
        <w:t>2. ENSO-Flavor Differences in Indonesian Marine Heatwaves: Satellite SST, Physical Covariates, and Coral Habitat Suitability</w:t>
      </w:r>
    </w:p>
    <w:p>
      <w:r>
        <w:rPr>
          <w:rFonts w:ascii="Microsoft YaHei" w:hAnsi="Microsoft YaHei" w:eastAsia="Microsoft YaHei"/>
          <w:color w:val="55697D"/>
          <w:sz w:val="18"/>
        </w:rPr>
        <w:t>作者：Qiyuan Xiao; Junyi Zhang; Zhuangwei Jiang; Liujun Li</w:t>
      </w:r>
    </w:p>
    <w:p>
      <w:r>
        <w:rPr>
          <w:rFonts w:ascii="Microsoft YaHei" w:hAnsi="Microsoft YaHei" w:eastAsia="Microsoft YaHei"/>
          <w:color w:val="55697D"/>
          <w:sz w:val="18"/>
        </w:rPr>
        <w:t>期刊：Remote Sensing</w:t>
      </w:r>
    </w:p>
    <w:p>
      <w:r>
        <w:rPr>
          <w:rFonts w:ascii="Microsoft YaHei" w:hAnsi="Microsoft YaHei" w:eastAsia="Microsoft YaHei"/>
          <w:color w:val="55697D"/>
          <w:sz w:val="18"/>
        </w:rPr>
        <w:t>发表月份：2026-10</w:t>
      </w:r>
    </w:p>
    <w:p>
      <w:r>
        <w:rPr>
          <w:rFonts w:ascii="Microsoft YaHei" w:hAnsi="Microsoft YaHei" w:eastAsia="Microsoft YaHei"/>
          <w:color w:val="55697D"/>
          <w:sz w:val="18"/>
        </w:rPr>
        <w:t>DOI：10.3390/rs18203555</w:t>
      </w:r>
    </w:p>
    <w:p>
      <w:r>
        <w:rPr>
          <w:rFonts w:ascii="Microsoft YaHei" w:hAnsi="Microsoft YaHei" w:eastAsia="Microsoft YaHei"/>
          <w:b/>
          <w:sz w:val="19"/>
        </w:rPr>
        <w:t>关键词：marine heatwaves</w:t>
      </w:r>
    </w:p>
    <w:p>
      <w:r>
        <w:rPr>
          <w:rFonts w:ascii="Microsoft YaHei" w:hAnsi="Microsoft YaHei" w:eastAsia="Microsoft YaHei"/>
          <w:sz w:val="17"/>
        </w:rPr>
        <w:t>摘要：印度尼西亚海域的海洋热浪（MHW）是在海面温度长期上升和强烈的年际气候变化的情况下形成的。我们分析了 1982 年至 2022 年每日 NOAA 最佳插值海面温度版本 2.1，并比较了五次东太平洋 (EP) 和五次中太平洋 (CP) 厄尔尼诺事件。 MHW 是根据 1982 年至 2011 年的固定基线进行检测的，每个事件都由跨越其发展和衰退阶段的共同的 7 月 1 日至 6 月 30 日窗口来表示。 EP 减去 CP 差异为 14. 25 面积加权 MHW 天和 22. 34 °C·天累积强度。它们的事件引导间隔跨度为零，精确的排列测试并不重要，并且没有网格单元通过任一指标的错误发现率控制。年度 MHW 天数按面积加权每十年增加 11. 37 天； 90. 5% 的域通过了错误发现率控制，并且时间块现场测试得出 p=0。 001. 在线性 Niño-3 之后，这种增加仍然广泛。 4、偶极模指数调整。直接物理诊断、空间块栖息地验证和官方渔业管理区（FMA）摘要用于评估拟议流程和管理解释的强度和局限性。物理诊断间隔包括零，MaxEnt 输出代表建模的环境适宜性。结果确定了 MHW 暴露在空间上广泛的长期增加，并量化了事件规模的物理和生态路径的不确定性。</w:t>
      </w:r>
    </w:p>
    <w:p>
      <w:r>
        <w:rPr>
          <w:rFonts w:ascii="Microsoft YaHei" w:hAnsi="Microsoft YaHei" w:eastAsia="Microsoft YaHei"/>
          <w:color w:val="0563C1"/>
          <w:sz w:val="18"/>
        </w:rPr>
        <w:t>链接：https://doi.org/10.3390/rs18203555</w:t>
      </w:r>
    </w:p>
    <w:p>
      <w:pPr>
        <w:pStyle w:val="Heading2"/>
      </w:pPr>
      <w:r>
        <w:t>重点关注团队</w:t>
      </w:r>
    </w:p>
    <w:p>
      <w:pPr>
        <w:pStyle w:val="Heading3"/>
      </w:pPr>
      <w:r>
        <w:rPr>
          <w:rFonts w:ascii="Microsoft YaHei" w:hAnsi="Microsoft YaHei" w:eastAsia="Microsoft YaHei"/>
          <w:b/>
        </w:rPr>
        <w:t>3. Divergent Impacts of Straw and Biochar on Organic Carbon Fraction Allocation and CO2 Emissions in Coastal Saline Soil</w:t>
      </w:r>
    </w:p>
    <w:p>
      <w:r>
        <w:rPr>
          <w:rFonts w:ascii="Microsoft YaHei" w:hAnsi="Microsoft YaHei" w:eastAsia="Microsoft YaHei"/>
          <w:color w:val="55697D"/>
          <w:sz w:val="18"/>
        </w:rPr>
        <w:t>作者：Weijia Li; Haiyang Pang; Liang Yu; Fan Wei; Peng Gao; Luqin Sun; Guanhong Wang; Jie Ji; et al.</w:t>
      </w:r>
    </w:p>
    <w:p>
      <w:r>
        <w:rPr>
          <w:rFonts w:ascii="Microsoft YaHei" w:hAnsi="Microsoft YaHei" w:eastAsia="Microsoft YaHei"/>
          <w:color w:val="55697D"/>
          <w:sz w:val="18"/>
        </w:rPr>
        <w:t>期刊：Toxics</w:t>
      </w:r>
    </w:p>
    <w:p>
      <w:r>
        <w:rPr>
          <w:rFonts w:ascii="Microsoft YaHei" w:hAnsi="Microsoft YaHei" w:eastAsia="Microsoft YaHei"/>
          <w:color w:val="55697D"/>
          <w:sz w:val="18"/>
        </w:rPr>
        <w:t>发表月份：2026-10</w:t>
      </w:r>
    </w:p>
    <w:p>
      <w:r>
        <w:rPr>
          <w:rFonts w:ascii="Microsoft YaHei" w:hAnsi="Microsoft YaHei" w:eastAsia="Microsoft YaHei"/>
          <w:color w:val="55697D"/>
          <w:sz w:val="18"/>
        </w:rPr>
        <w:t>DOI：10.3390/toxics14100917</w:t>
      </w:r>
    </w:p>
    <w:p>
      <w:r>
        <w:rPr>
          <w:rFonts w:ascii="Microsoft YaHei" w:hAnsi="Microsoft YaHei" w:eastAsia="Microsoft YaHei"/>
          <w:b/>
          <w:sz w:val="19"/>
        </w:rPr>
        <w:t>关键词：microbial carbon</w:t>
      </w:r>
    </w:p>
    <w:p>
      <w:r>
        <w:rPr>
          <w:rFonts w:ascii="Microsoft YaHei" w:hAnsi="Microsoft YaHei" w:eastAsia="Microsoft YaHei"/>
          <w:sz w:val="17"/>
        </w:rPr>
        <w:t>摘要：同源秸秆和生物炭如何改变沿海盐渍土中的土壤碳含量和相关微生物过程仍不清楚。一项为期 120 天的微观实验比较了芦苇（Phragmites australis）秸秆及其生物炭在干燥土壤质量的 1%、5% 和 9% 等质量比例下的情况。两项修改都增加了土壤有机碳（SOC）并降低了电导率。在 9% 时，秸秆将 SOC 的颗粒有机碳份额增加到 78. 2%，将寡养细菌/富营养细菌比率从 1. 82 降低到 0. 86，并将潜在水解酶活性提高到 4. 3–9.控制水平的 1 倍。在秸秆处理中，累计二氧化碳排放量为 375. 0–1645.比未经修改的对照高 9%。生物炭保持了操作上定义的矿物相关有机碳优势（SOC 的 62. 1–68. 0%），水解反应较弱，累积二氧化碳排放量 58. 0–102。比对照水平高出 2%。探索性结构方程模型表明，较低的寡营养/富营养细菌比率与秸秆下较高的水解酶活性相关。在生物炭下，较高的真菌担子菌/子囊菌比例与较高的多酚氧化酶活性相关。在各自的模型中，两种酶指标均与累积二氧化碳排放量呈正相关。这些发现证明了对比碳分数分布和对同源修正的呼吸反应，对沿海盐渍土壤的碳管理具有影响。</w:t>
      </w:r>
    </w:p>
    <w:p>
      <w:r>
        <w:rPr>
          <w:rFonts w:ascii="Microsoft YaHei" w:hAnsi="Microsoft YaHei" w:eastAsia="Microsoft YaHei"/>
          <w:color w:val="0563C1"/>
          <w:sz w:val="18"/>
        </w:rPr>
        <w:t>链接：https://doi.org/10.3390/toxics14100917</w:t>
      </w:r>
    </w:p>
    <w:p>
      <w:pPr>
        <w:pStyle w:val="Heading3"/>
      </w:pPr>
      <w:r>
        <w:rPr>
          <w:rFonts w:ascii="Microsoft YaHei" w:hAnsi="Microsoft YaHei" w:eastAsia="Microsoft YaHei"/>
          <w:b/>
        </w:rPr>
        <w:t>4. Assessing the Potential Distribution of Eriocheir sinensis Under Climate Change: Regional Contrasts and Spatial Mismatches in Terrestrial and Nearshore Suitability</w:t>
      </w:r>
    </w:p>
    <w:p>
      <w:r>
        <w:rPr>
          <w:rFonts w:ascii="Microsoft YaHei" w:hAnsi="Microsoft YaHei" w:eastAsia="Microsoft YaHei"/>
          <w:color w:val="55697D"/>
          <w:sz w:val="18"/>
        </w:rPr>
        <w:t>作者：He Gong; Xiaolong Yang; Gorka Bidegain; Yihang Wang; Yuqing Jiang; Tao Han; Jianyu Dong; Xiumei Zhang</w:t>
      </w:r>
    </w:p>
    <w:p>
      <w:r>
        <w:rPr>
          <w:rFonts w:ascii="Microsoft YaHei" w:hAnsi="Microsoft YaHei" w:eastAsia="Microsoft YaHei"/>
          <w:color w:val="55697D"/>
          <w:sz w:val="18"/>
        </w:rPr>
        <w:t>期刊：Ecology and Evolution</w:t>
      </w:r>
    </w:p>
    <w:p>
      <w:r>
        <w:rPr>
          <w:rFonts w:ascii="Microsoft YaHei" w:hAnsi="Microsoft YaHei" w:eastAsia="Microsoft YaHei"/>
          <w:color w:val="55697D"/>
          <w:sz w:val="18"/>
        </w:rPr>
        <w:t>发表月份：2026-10</w:t>
      </w:r>
    </w:p>
    <w:p>
      <w:r>
        <w:rPr>
          <w:rFonts w:ascii="Microsoft YaHei" w:hAnsi="Microsoft YaHei" w:eastAsia="Microsoft YaHei"/>
          <w:color w:val="55697D"/>
          <w:sz w:val="18"/>
        </w:rPr>
        <w:t>DOI：10.1002/ece3.74351</w:t>
      </w:r>
    </w:p>
    <w:p>
      <w:r>
        <w:rPr>
          <w:rFonts w:ascii="Microsoft YaHei" w:hAnsi="Microsoft YaHei" w:eastAsia="Microsoft YaHei"/>
          <w:b/>
          <w:sz w:val="19"/>
        </w:rPr>
        <w:t>关键词：phytoplankton</w:t>
      </w:r>
    </w:p>
    <w:p>
      <w:r>
        <w:rPr>
          <w:rFonts w:ascii="Microsoft YaHei" w:hAnsi="Microsoft YaHei" w:eastAsia="Microsoft YaHei"/>
          <w:sz w:val="17"/>
        </w:rPr>
        <w:t>摘要：中华绒螯蟹（Eriocheir sinensis）原产于中国和朝鲜半岛，已在欧洲和北美建立了入侵种群，对生态和经济产生了重大影响。预测其潜在分布的变化对于入侵风险筛查和河口管理非常重要。我们开发了全球物种分布模型（G-SDM）以及本地分布区、欧洲和北美的区域模型，每个模型都包含陆地和近岸咸水部分。未来的适用性预计在 SSP126、SSP245 和 SSP585 下。陆地 PCA-env 分析评估了预计的合适环境空间的变化，而 MESS 和 MoD 则诊断了环境新颖性和外推不确定性。 陆地适宜性主要与年平均气温、年降水量和距海岸线的距离相关，而近岸适宜性主要与水深、叶绿素浓度和海面温度相关，尽管预测因子的重要性排序因地区而异。预计欧洲和北美的适宜环境将导致年度和最潮湿季度的温度低于本地范围。在未来的情景下，预计的适宜性通常会向高纬度地区重新分配，特别是在 SSP585 下。在一些地区，陆地适宜性比近岸适宜性表现出更明显的空间重新分布，而且这两个组成部分并不总是在地理上一致。 陆地 PCA-env 分析表明，欧洲保留了更多的适宜环境空间，但本土地区和北美的空缺不断增加。 MESS 分析进一步确定了一些未来合适地区的环境新颖性和外推不确定性。这些发现为早期预防、有针对性的监测、现场验证和河口管理提供了科学依据。</w:t>
      </w:r>
    </w:p>
    <w:p>
      <w:r>
        <w:rPr>
          <w:rFonts w:ascii="Microsoft YaHei" w:hAnsi="Microsoft YaHei" w:eastAsia="Microsoft YaHei"/>
          <w:color w:val="0563C1"/>
          <w:sz w:val="18"/>
        </w:rPr>
        <w:t>链接：https://doi.org/10.1002/ece3.74351</w:t>
      </w:r>
    </w:p>
    <w:p>
      <w:pPr>
        <w:pStyle w:val="Heading2"/>
      </w:pPr>
      <w:r>
        <w:t>其他相关期刊：按主题相关性补充</w:t>
      </w:r>
    </w:p>
    <w:p>
      <w:pPr>
        <w:pStyle w:val="Heading3"/>
      </w:pPr>
      <w:r>
        <w:rPr>
          <w:rFonts w:ascii="Microsoft YaHei" w:hAnsi="Microsoft YaHei" w:eastAsia="Microsoft YaHei"/>
          <w:b/>
        </w:rPr>
        <w:t>5. Development and validation of the 3D CEMBS-PolSea biogeochemical model and its application to ecosystem analysis in the Southern Baltic Sea</w:t>
      </w:r>
    </w:p>
    <w:p>
      <w:r>
        <w:rPr>
          <w:rFonts w:ascii="Microsoft YaHei" w:hAnsi="Microsoft YaHei" w:eastAsia="Microsoft YaHei"/>
          <w:color w:val="55697D"/>
          <w:sz w:val="18"/>
        </w:rPr>
        <w:t>作者：Dzierzbicka-Głowacka Lidia</w:t>
      </w:r>
    </w:p>
    <w:p>
      <w:r>
        <w:rPr>
          <w:rFonts w:ascii="Microsoft YaHei" w:hAnsi="Microsoft YaHei" w:eastAsia="Microsoft YaHei"/>
          <w:color w:val="55697D"/>
          <w:sz w:val="18"/>
        </w:rPr>
        <w:t>期刊：OCEANOLOGIA</w:t>
      </w:r>
    </w:p>
    <w:p>
      <w:r>
        <w:rPr>
          <w:rFonts w:ascii="Microsoft YaHei" w:hAnsi="Microsoft YaHei" w:eastAsia="Microsoft YaHei"/>
          <w:color w:val="55697D"/>
          <w:sz w:val="18"/>
        </w:rPr>
        <w:t>发表月份：2026（月份未核准）</w:t>
      </w:r>
    </w:p>
    <w:p>
      <w:r>
        <w:rPr>
          <w:rFonts w:ascii="Microsoft YaHei" w:hAnsi="Microsoft YaHei" w:eastAsia="Microsoft YaHei"/>
          <w:color w:val="55697D"/>
          <w:sz w:val="18"/>
        </w:rPr>
        <w:t>DOI：10.5697/wlii7994</w:t>
      </w:r>
    </w:p>
    <w:p>
      <w:r>
        <w:rPr>
          <w:rFonts w:ascii="Microsoft YaHei" w:hAnsi="Microsoft YaHei" w:eastAsia="Microsoft YaHei"/>
          <w:b/>
          <w:sz w:val="19"/>
        </w:rPr>
        <w:t>关键词：phytoplankton</w:t>
      </w:r>
    </w:p>
    <w:p>
      <w:r>
        <w:rPr>
          <w:rFonts w:ascii="Microsoft YaHei" w:hAnsi="Microsoft YaHei" w:eastAsia="Microsoft YaHei"/>
          <w:sz w:val="17"/>
        </w:rPr>
        <w:t>摘要：本研究介绍了波罗的海南部高分辨率三维生物地球化学 3D CEMBS-PolSea 模型的开发、实施和验证。该模型基于NPZD（营养物-浮游植物-浮游动物-碎屑）框架，模拟关键的生态系统组成和过程，包括浮游植物、浮游动物、叶绿素a、溶解氧、营养物（NO 3 、PO 4 、SiO 3 、NH 4 ）和有机物动力学。该模型是在 CSI-POM 2 项目内开发的，并集成到波兰海洋区域的运行环境信息系统中。使用来自 ICES 水化学数据库的现场观测和来自 SatBałtyk 系统的卫星叶绿素-a 产品来评估模型性能。验证结果表明溶解氧的一致性最高，相关系数达到 0。 ICES 低分辨率和高分辨率数据集分别为 87 和 0. 72。营养物质和叶绿素 a 获得了中等程度的一致性，相关系数范围为 0. 51 到 0. 68。其他性能指标，包括偏差、归一化 RMSE (nRMSE)、RMSE 观测标准偏差比 (RSR) 和变异系数 (CV)，表明模型误差仍然与观测数据集的变异性相当或更低。这些结果表明，尽管波罗的海生物地球化学条件的自然变异性很高，但该模型再现了观测到的环境变异性的很大一部分。卫星衍生的叶绿素a同化的集成改善了浮游植物动力学的表征并增强了建模系统的操作适用性。 开发的 3D CEMBS-PolSea 模型为波罗的海南部的生态系统评估、环境监测、预测和海洋管理提供了宝贵的工具。</w:t>
      </w:r>
    </w:p>
    <w:p>
      <w:r>
        <w:rPr>
          <w:rFonts w:ascii="Microsoft YaHei" w:hAnsi="Microsoft YaHei" w:eastAsia="Microsoft YaHei"/>
          <w:color w:val="0563C1"/>
          <w:sz w:val="18"/>
        </w:rPr>
        <w:t>链接：https://doi.org/10.5697/wlii7994</w:t>
      </w:r>
    </w:p>
    <w:p>
      <w:pPr>
        <w:pStyle w:val="Heading3"/>
      </w:pPr>
      <w:r>
        <w:rPr>
          <w:rFonts w:ascii="Microsoft YaHei" w:hAnsi="Microsoft YaHei" w:eastAsia="Microsoft YaHei"/>
          <w:b/>
        </w:rPr>
        <w:t>6. Biogeochemical time-series and surveys in the North Sea, Skagerrak and Kattegat, 1990 – 2024</w:t>
      </w:r>
    </w:p>
    <w:p>
      <w:r>
        <w:rPr>
          <w:rFonts w:ascii="Microsoft YaHei" w:hAnsi="Microsoft YaHei" w:eastAsia="Microsoft YaHei"/>
          <w:color w:val="55697D"/>
          <w:sz w:val="18"/>
        </w:rPr>
        <w:t>作者：Kjell Gundersen; Rocío Castaño-Primo; Tone Falkenhaug; Gayantonia Franzè; Terje Jåvold; Linda F. Lunde; Arnfinn Morvik; Jane S. Møgster; et al.</w:t>
      </w:r>
    </w:p>
    <w:p>
      <w:r>
        <w:rPr>
          <w:rFonts w:ascii="Microsoft YaHei" w:hAnsi="Microsoft YaHei" w:eastAsia="Microsoft YaHei"/>
          <w:color w:val="55697D"/>
          <w:sz w:val="18"/>
        </w:rPr>
        <w:t>期刊：Scientific Data</w:t>
      </w:r>
    </w:p>
    <w:p>
      <w:r>
        <w:rPr>
          <w:rFonts w:ascii="Microsoft YaHei" w:hAnsi="Microsoft YaHei" w:eastAsia="Microsoft YaHei"/>
          <w:color w:val="55697D"/>
          <w:sz w:val="18"/>
        </w:rPr>
        <w:t>发表月份：2026-10</w:t>
      </w:r>
    </w:p>
    <w:p>
      <w:r>
        <w:rPr>
          <w:rFonts w:ascii="Microsoft YaHei" w:hAnsi="Microsoft YaHei" w:eastAsia="Microsoft YaHei"/>
          <w:color w:val="55697D"/>
          <w:sz w:val="18"/>
        </w:rPr>
        <w:t>DOI：10.1038/s41597-026-08328-3</w:t>
      </w:r>
    </w:p>
    <w:p>
      <w:r>
        <w:rPr>
          <w:rFonts w:ascii="Microsoft YaHei" w:hAnsi="Microsoft YaHei" w:eastAsia="Microsoft YaHei"/>
          <w:b/>
          <w:sz w:val="19"/>
        </w:rPr>
        <w:t>关键词：phytoplankton</w:t>
      </w:r>
    </w:p>
    <w:p>
      <w:r>
        <w:rPr>
          <w:rFonts w:ascii="Microsoft YaHei" w:hAnsi="Microsoft YaHei" w:eastAsia="Microsoft YaHei"/>
          <w:sz w:val="17"/>
        </w:rPr>
        <w:t>摘要：该数据集包含由海洋研究所 (IMR) 浮游生物化学实验室分析的来自北海、斯卡格拉克和卡特加特地区的生物地球化学样本。过去 35 年里，调查和站点的数量变化很大。一般来说，IMR 通常在每年 4 月至 5 月进行一次年度生态系统调查，在选定的站点进行拖网调查和多次网拖，但此处仅报告水样采集情况。三个横断面构成了时间序列的核心，每年都会被多次访问（Torungen-Hirtshals、Utsira-West、Hanstholm-Aberdeen）。在每个站点，CTD 采样器收集海水，以确定预定深度的溶解无机营养物（硝酸盐、亚硝酸盐、磷酸盐、硅酸盐）以及浮游植物叶绿素 a 和色素（ChlA、Phaeo）。 在托龙根-希茨海尔斯横断面以及德国湾和斯卡格拉克-卡特加特地区的邻近横断面，还收集了额外数量的环境样本，包括溶解铵 (AMON) 和温克勒氧 (DOW)。这一独特的数据集多年来使用有限，但对全球海洋研究和这些水域的气候变化调查做出了巨大贡献。</w:t>
      </w:r>
    </w:p>
    <w:p>
      <w:r>
        <w:rPr>
          <w:rFonts w:ascii="Microsoft YaHei" w:hAnsi="Microsoft YaHei" w:eastAsia="Microsoft YaHei"/>
          <w:color w:val="0563C1"/>
          <w:sz w:val="18"/>
        </w:rPr>
        <w:t>链接：https://doi.org/10.1038/s41597-026-08328-3</w:t>
      </w:r>
    </w:p>
    <w:p>
      <w:pPr>
        <w:pStyle w:val="Heading3"/>
      </w:pPr>
      <w:r>
        <w:rPr>
          <w:rFonts w:ascii="Microsoft YaHei" w:hAnsi="Microsoft YaHei" w:eastAsia="Microsoft YaHei"/>
          <w:b/>
        </w:rPr>
        <w:t>7. DM‐MODNet: A Robust Bio‐Inspired Network for Marine Object Detection Using RGB and Hyperspectral Images</w:t>
      </w:r>
    </w:p>
    <w:p>
      <w:r>
        <w:rPr>
          <w:rFonts w:ascii="Microsoft YaHei" w:hAnsi="Microsoft YaHei" w:eastAsia="Microsoft YaHei"/>
          <w:color w:val="55697D"/>
          <w:sz w:val="18"/>
        </w:rPr>
        <w:t>作者：Lin Gui; Jiye Huang; Yuhao Liu; Jinhua Huang; Xiaoyue Ji; Liyan Zhu</w:t>
      </w:r>
    </w:p>
    <w:p>
      <w:r>
        <w:rPr>
          <w:rFonts w:ascii="Microsoft YaHei" w:hAnsi="Microsoft YaHei" w:eastAsia="Microsoft YaHei"/>
          <w:color w:val="55697D"/>
          <w:sz w:val="18"/>
        </w:rPr>
        <w:t>期刊：IET Radar, Sonar &amp; Navigation</w:t>
      </w:r>
    </w:p>
    <w:p>
      <w:r>
        <w:rPr>
          <w:rFonts w:ascii="Microsoft YaHei" w:hAnsi="Microsoft YaHei" w:eastAsia="Microsoft YaHei"/>
          <w:color w:val="55697D"/>
          <w:sz w:val="18"/>
        </w:rPr>
        <w:t>发表月份：2026-01</w:t>
      </w:r>
    </w:p>
    <w:p>
      <w:r>
        <w:rPr>
          <w:rFonts w:ascii="Microsoft YaHei" w:hAnsi="Microsoft YaHei" w:eastAsia="Microsoft YaHei"/>
          <w:color w:val="55697D"/>
          <w:sz w:val="18"/>
        </w:rPr>
        <w:t>DOI：10.1049/rsn2.70247</w:t>
      </w:r>
    </w:p>
    <w:p>
      <w:r>
        <w:rPr>
          <w:rFonts w:ascii="Microsoft YaHei" w:hAnsi="Microsoft YaHei" w:eastAsia="Microsoft YaHei"/>
          <w:b/>
          <w:sz w:val="19"/>
        </w:rPr>
        <w:t>关键词：ocean colour</w:t>
      </w:r>
    </w:p>
    <w:p>
      <w:r>
        <w:rPr>
          <w:rFonts w:ascii="Microsoft YaHei" w:hAnsi="Microsoft YaHei" w:eastAsia="Microsoft YaHei"/>
          <w:sz w:val="17"/>
        </w:rPr>
        <w:t>摘要：海洋物体检测对于海上监视和海洋科学研究至关重要。然而，现有方法主要依赖于单一模态数据，有效的跨模态信息交换机制尚未得到充分探索。这种限制使得检测模型非常容易受到动态环境变化的影响，通常会影响检测精度。为了解决这个问题，我们研究了 DM-MODNet，这是一种强大的仿生网络，用于使用双模态遥感图像（即 RGB 和高光谱图像）进行海洋物体检测。受生物视觉系统（BVS）的启发，DM-MODNet 通过包含单模态提取、双模态融合和输出模块的级联结构反映认知信息处理。 受BVS自下而上和自上而下信息流原理的启发，所提出的网络实现了跨不同信息源的高效特征融合和全面交互，使整个检测过程具有生物学可解释性。在 M 2 SODAI 和 VEDAI 数据集上进行的大量实验表明，DM-MODNet 在整体检测精度方面显着优于最先进的方法。此外，它还对严重噪声表现出卓越的鲁棒性，对复杂、动态的天气条件具有很强的适应性。</w:t>
      </w:r>
    </w:p>
    <w:p>
      <w:r>
        <w:rPr>
          <w:rFonts w:ascii="Microsoft YaHei" w:hAnsi="Microsoft YaHei" w:eastAsia="Microsoft YaHei"/>
          <w:color w:val="0563C1"/>
          <w:sz w:val="18"/>
        </w:rPr>
        <w:t>链接：https://doi.org/10.1049/rsn2.70247</w:t>
      </w:r>
    </w:p>
    <w:p>
      <w:pPr>
        <w:pStyle w:val="Heading3"/>
      </w:pPr>
      <w:r>
        <w:rPr>
          <w:rFonts w:ascii="Microsoft YaHei" w:hAnsi="Microsoft YaHei" w:eastAsia="Microsoft YaHei"/>
          <w:b/>
        </w:rPr>
        <w:t>8. Observing the Linkage of Atmospheric and Oceanic Front Using Remote Sensing Observations: A Case Study After the Passage of Tropical Cyclone Asani</w:t>
      </w:r>
    </w:p>
    <w:p>
      <w:r>
        <w:rPr>
          <w:rFonts w:ascii="Microsoft YaHei" w:hAnsi="Microsoft YaHei" w:eastAsia="Microsoft YaHei"/>
          <w:color w:val="55697D"/>
          <w:sz w:val="18"/>
        </w:rPr>
        <w:t>作者：Bipasha Paul Shukla; Suchandra Aich Bhowmick; Anup Kumar Mandal; Abhisek Chakraborty</w:t>
      </w:r>
    </w:p>
    <w:p>
      <w:r>
        <w:rPr>
          <w:rFonts w:ascii="Microsoft YaHei" w:hAnsi="Microsoft YaHei" w:eastAsia="Microsoft YaHei"/>
          <w:color w:val="55697D"/>
          <w:sz w:val="18"/>
        </w:rPr>
        <w:t>期刊：Ocean Observation Technologies and Engin</w:t>
      </w:r>
    </w:p>
    <w:p>
      <w:r>
        <w:rPr>
          <w:rFonts w:ascii="Microsoft YaHei" w:hAnsi="Microsoft YaHei" w:eastAsia="Microsoft YaHei"/>
          <w:color w:val="55697D"/>
          <w:sz w:val="18"/>
        </w:rPr>
        <w:t>发表月份：2025（月份未核准）</w:t>
      </w:r>
    </w:p>
    <w:p>
      <w:r>
        <w:rPr>
          <w:rFonts w:ascii="Microsoft YaHei" w:hAnsi="Microsoft YaHei" w:eastAsia="Microsoft YaHei"/>
          <w:color w:val="55697D"/>
          <w:sz w:val="18"/>
        </w:rPr>
        <w:t>DOI：10.47852/bonviewrsso6202936</w:t>
      </w:r>
    </w:p>
    <w:p>
      <w:r>
        <w:rPr>
          <w:rFonts w:ascii="Microsoft YaHei" w:hAnsi="Microsoft YaHei" w:eastAsia="Microsoft YaHei"/>
          <w:b/>
          <w:sz w:val="19"/>
        </w:rPr>
        <w:t>关键词：ocean colour</w:t>
      </w:r>
    </w:p>
    <w:p>
      <w:r>
        <w:rPr>
          <w:rFonts w:ascii="Microsoft YaHei" w:hAnsi="Microsoft YaHei" w:eastAsia="Microsoft YaHei"/>
          <w:sz w:val="17"/>
        </w:rPr>
        <w:t>摘要：海洋大气边界层（MABL）是多种重要动态现象的中心，包括涡流、重力波、大气锋、滚转、对流单元等。特别是，剪切引起的涡流和对流涡流驱动能量从海洋表面到大气的传递。反过来，这种能量转移是协调大气-海洋动力学的关键因素之一。利用地球观测卫星（EOS-04）的数据，进行了一个案例研究来检查海洋-大气系统中的锋面特征。 SAR 和补充数据（Sentinel-3、GHRSST 和 ECMWF）揭示了海洋和大气锋的同时出现，从而在它们之间建立了牢固的联系。气旋阿萨尼的同时存在表明，附近气旋扰动的穿越可以解释这种现象。 热带气旋经常在上层海洋产生明显的冷尾流；然而，在这些环境中同时观测海洋和大气锋面边界仍然不常见。这项研究记录了气旋后同时发生的海气锋面结构的独特实例。这些发现表明了耦合反馈机制，其中海洋热梯度影响近地表风，而大气强迫则促进锋生。这一同时观测的证据强调了气旋引起的冷尾流锋作为活跃的海气相互作用区域的重要性，对区域天气预报、上层海洋生物地球化学和气旋后恢复过程具有潜在影响。</w:t>
      </w:r>
    </w:p>
    <w:p>
      <w:r>
        <w:rPr>
          <w:rFonts w:ascii="Microsoft YaHei" w:hAnsi="Microsoft YaHei" w:eastAsia="Microsoft YaHei"/>
          <w:color w:val="0563C1"/>
          <w:sz w:val="18"/>
        </w:rPr>
        <w:t>链接：https://doi.org/10.47852/bonviewrsso6202936</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