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检索日期：2026-10-07 | GitHub Actions 自动生成</w:t>
      </w:r>
    </w:p>
    <w:p>
      <w:pPr>
        <w:pStyle w:val="Heading1"/>
      </w:pPr>
      <w:r>
        <w:t>今日总览</w:t>
      </w:r>
    </w:p>
    <w:p>
      <w:r>
        <w:rPr>
          <w:rFonts w:ascii="Microsoft YaHei" w:hAnsi="Microsoft YaHei" w:eastAsia="Microsoft YaHei"/>
        </w:rPr>
        <w:t>历史去重后今日新增 10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Biomarkers and diatoms as tracers of phytoplankton communities and past sea ice conditions in the southwestern Ross Sea, Antarctica: drivers and variability over the last 200 years</w:t>
      </w:r>
    </w:p>
    <w:p>
      <w:r>
        <w:rPr>
          <w:rFonts w:ascii="Microsoft YaHei" w:hAnsi="Microsoft YaHei" w:eastAsia="Microsoft YaHei"/>
          <w:color w:val="55697D"/>
          <w:sz w:val="18"/>
        </w:rPr>
        <w:t>作者：Emma M. de Jong; Xavier Crosta; Sebastian Naeher; Bella Duncan; Johan Etourneau; Jae Il Lee; Robert McKay; V. Holly L. Winton</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DOI：10.5194/bg-23-6979-2026</w:t>
      </w:r>
    </w:p>
    <w:p>
      <w:r>
        <w:rPr>
          <w:rFonts w:ascii="Microsoft YaHei" w:hAnsi="Microsoft YaHei" w:eastAsia="Microsoft YaHei"/>
          <w:b/>
          <w:sz w:val="19"/>
        </w:rPr>
        <w:t>关键词：phytoplankton</w:t>
      </w:r>
    </w:p>
    <w:p>
      <w:r>
        <w:rPr>
          <w:rFonts w:ascii="Microsoft YaHei" w:hAnsi="Microsoft YaHei" w:eastAsia="Microsoft YaHei"/>
          <w:sz w:val="17"/>
        </w:rPr>
        <w:t>摘要：南极洲罗斯海是全球海洋季节性生产力最高的区域之一，其中不同类别的浮游植物，如硅藻、甲藻和附着藻（南极棕囊藻）在海洋生态系统和碳循环中发挥着关键作用。海冰动态强烈影响罗斯海浮游植物的繁殖，但近期海冰变化对藻华组成和生产力的影响仍然很少受到限制，需要更长的基线记录来了解海冰的变化及其对浮游植物和气候的影响。过去 200 年为工业化带来的变暖和大气二氧化碳 (CO 2 ) 上升之前提供了一个自然基线，这使得它对于了解近期和预计的变化至关重要。 我们使用沉积生物标志物和硅藻组合来研究海冰的物理变化与浮游植物群落组成之间的关系，这反过来又影响海洋沉积物中保存的化学特征。我们研究了六个海洋沉积物核心顶部和三个短沉积物核心中浮游植物衍生的脂质生物标志物（脂肪酸、高度支化的类异戊二烯、HBI、甾醇）和硅藻组合，这些沉积物核心是沿着从麦克默多海峡沿海冰间湖延伸到特拉诺瓦湾以南的南北横断面收集的。核心顶部的硅藻和生物标志物揭示了麦克默多海峡附近样线南端的开放海洋硅藻物种和细菌脂肪酸的比例增加，这是由于夏季海冰浓度较低和年持续时间较低，以及以硅藻为主的浮游植物群落和较高的夏季生物量所致。 相比之下，靠近特拉诺瓦湾的样线北端的特点是与海冰相关的硅藻比例较高，以及海冰硅藻衍生脂肪酸和 HBI 浓度增加，这是由于海冰浓度较高所致。同样，南极棕囊藻衍生的脂肪酸生物标志物在样线北端增加，这可能是由浮游植物群落的差异驱动的。 生物标志物和硅藻数据集的主成分分析 (PCA) 证实了这种空间结构，解决了三个主要方差分组：与较重海冰相关的硅藻和脂肪酸（Fragilaropsis curta 组，C 24:0），与开放水域和固定冰硅藻组合（角毛藻静止孢子、开放海洋、冷水和海冰硅藻）呈负相关，而脂肪酸和HBI 形成第三个独立的分组，与共同的沉积后降解一致。在短核心内，与海冰相关的硅藻，如 Fragilariopsis curta 和海冰代理 PIPSO 25 ，表明过去 200 年海冰范围有所增加，同时伴随着公海硅藻物种的减少，这一趋势仅由浮游植物衍生的脂肪酸无法捕捉到，其在同一时期群落组成几乎没有变化。 总体而言，我们的记录揭示了西南罗斯海 200 年来海冰不断增加的趋势，这与根据冰芯重建的现有区域海冰范围一致。罗斯海西南部沉积物中的生物标志物独立地区分了中上层硅藻、南极洲硅藻和与海冰相关的硅藻，为开发海冰和浮游植物群落变化的更长期的年代际分辨率记录提供了宝贵的工具。</w:t>
      </w:r>
    </w:p>
    <w:p>
      <w:r>
        <w:rPr>
          <w:rFonts w:ascii="Microsoft YaHei" w:hAnsi="Microsoft YaHei" w:eastAsia="Microsoft YaHei"/>
          <w:color w:val="0563C1"/>
          <w:sz w:val="18"/>
        </w:rPr>
        <w:t>链接：https://doi.org/10.5194/bg-23-6979-2026</w:t>
      </w:r>
    </w:p>
    <w:p>
      <w:pPr>
        <w:pStyle w:val="Heading3"/>
      </w:pPr>
      <w:r>
        <w:rPr>
          <w:rFonts w:ascii="Microsoft YaHei" w:hAnsi="Microsoft YaHei" w:eastAsia="Microsoft YaHei"/>
          <w:b/>
        </w:rPr>
        <w:t>2. The gross ecosystem product of oyster reefs</w:t>
      </w:r>
    </w:p>
    <w:p>
      <w:r>
        <w:rPr>
          <w:rFonts w:ascii="Microsoft YaHei" w:hAnsi="Microsoft YaHei" w:eastAsia="Microsoft YaHei"/>
          <w:color w:val="55697D"/>
          <w:sz w:val="18"/>
        </w:rPr>
        <w:t>作者：Yuhan Wu; Matteo Convertino</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DOI：10.3389/fmars.2026.1900813</w:t>
      </w:r>
    </w:p>
    <w:p>
      <w:r>
        <w:rPr>
          <w:rFonts w:ascii="Microsoft YaHei" w:hAnsi="Microsoft YaHei" w:eastAsia="Microsoft YaHei"/>
          <w:b/>
          <w:sz w:val="19"/>
        </w:rPr>
        <w:t>关键词：phytoplankton</w:t>
      </w:r>
    </w:p>
    <w:p>
      <w:r>
        <w:rPr>
          <w:rFonts w:ascii="Microsoft YaHei" w:hAnsi="Microsoft YaHei" w:eastAsia="Microsoft YaHei"/>
          <w:sz w:val="17"/>
        </w:rPr>
        <w:t>摘要：牡蛎礁是支撑沿海和海洋生物多样性的重要界面栖息地，并增强蓝碳栖息地的多种生态系统服务，包括水过滤和海岸线稳定。然而，尽管具有这种生态价值，牡蛎礁却在全球范围内遭受了急剧下降。由于缺乏对牡蛎礁生态系统服务的系统性经济评估，给恢复区域的优先排序带来了很大的不确定性，从而限制了协调一致的大规模跨境保护、恢复、生态工程工作和政策。在这里，我们新颖地引入并估算了总生态潜力，或生态系统总产品（GEP），作为基于生态适应性的珊瑚礁生态系统服务的系统指标。健康度通过栖息地适宜性（HS）进行评估，等级为~9。全球2公里分辨率。 生态潜力被计算为多标准社会生态价值函数，将潜在的牡蛎贸易价值与量化贝壳碳成分、水过滤和营养物去除的货币情景相结合。对邻近植被蓝碳栖息地的潜在影响作为概念途径进行讨论，但不包括在碳数值评估中。我们重点介绍了 10 个热点国家——美国、澳大利亚、智利、中国、日本、韩国、阿根廷、法国、德国和意大利——这些国家的 HS 和恢复机会最高。反映浮游植物生物量的海底光可用性和最低初级生产力成为全球牡蛎礁 HS 和 GEP 的主要驱动因素。在参考阈值（HS≥0。 65），大约 23% 的预测高 HS 栖息地与评估的海洋和沿海保护区网络重叠，并且热点分析中大约 10% 的高 HS 单元与发生记录一致。由于只存在的档案不完整且采样不均匀，没有发生记录的高 HS 细胞被解释为进一步调查的候选细胞，而不是确认的牡蛎缺失。水文地貌分析表明，生态系统形态通过不同的生态流路径驱动 GEP：约 72% 的珊瑚礁出现在河口，21% 出现在泻湖或水湾，7% 出现在河流三角洲。我们的研究结果强调了当保护、恢复和再生是具有系统性和全球影响的相互关联的行动时，牡蛎礁的 GEP 相当大。 拟议的 GEP 方法整合了公开的社会生态和经济数据，为恢复规划生成与决策相关的优先见解。提供数字生态信息层，识别具有高 GEP 的现有和潜在珊瑚礁栖息地，包括其水文地貌流和级联生态系统服务。该模型可以轻松调整为更高质量的数据，并可广泛扩展到其他生物物种和栖息地，为蓝碳生态系统管理和未来情景开发提供可扩展的基线。</w:t>
      </w:r>
    </w:p>
    <w:p>
      <w:r>
        <w:rPr>
          <w:rFonts w:ascii="Microsoft YaHei" w:hAnsi="Microsoft YaHei" w:eastAsia="Microsoft YaHei"/>
          <w:color w:val="0563C1"/>
          <w:sz w:val="18"/>
        </w:rPr>
        <w:t>链接：https://doi.org/10.3389/fmars.2026.1900813</w:t>
      </w:r>
    </w:p>
    <w:p>
      <w:pPr>
        <w:pStyle w:val="Heading3"/>
      </w:pPr>
      <w:r>
        <w:rPr>
          <w:rFonts w:ascii="Microsoft YaHei" w:hAnsi="Microsoft YaHei" w:eastAsia="Microsoft YaHei"/>
          <w:b/>
        </w:rPr>
        <w:t>3. Iron and vitamin B12 uptake characteristics of autumn phytoplankton at the northern tip of the Western Antarctic Peninsula</w:t>
      </w:r>
    </w:p>
    <w:p>
      <w:r>
        <w:rPr>
          <w:rFonts w:ascii="Microsoft YaHei" w:hAnsi="Microsoft YaHei" w:eastAsia="Microsoft YaHei"/>
          <w:color w:val="55697D"/>
          <w:sz w:val="18"/>
        </w:rPr>
        <w:t>作者：Sebastian Böckmann; Florian Koch; Bettina Meyer; Marion Fourquez; Scarlett Trimborn</w:t>
      </w:r>
    </w:p>
    <w:p>
      <w:r>
        <w:rPr>
          <w:rFonts w:ascii="Microsoft YaHei" w:hAnsi="Microsoft YaHei" w:eastAsia="Microsoft YaHei"/>
          <w:color w:val="55697D"/>
          <w:sz w:val="18"/>
        </w:rPr>
        <w:t>期刊：Deep Sea Research Part I: Oceanographic Research Papers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DOI：10.1016/j.dsr.2026.104766</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链接：https://doi.org/10.1016/j.dsr.2026.104766</w:t>
      </w:r>
    </w:p>
    <w:p>
      <w:pPr>
        <w:pStyle w:val="Heading3"/>
      </w:pPr>
      <w:r>
        <w:rPr>
          <w:rFonts w:ascii="Microsoft YaHei" w:hAnsi="Microsoft YaHei" w:eastAsia="Microsoft YaHei"/>
          <w:b/>
        </w:rPr>
        <w:t>4. Generation Process of Mesoscale Eddies Southwest of Taiwan Island influenced by the Kuroshio Intrusion</w:t>
      </w:r>
    </w:p>
    <w:p>
      <w:r>
        <w:rPr>
          <w:rFonts w:ascii="Microsoft YaHei" w:hAnsi="Microsoft YaHei" w:eastAsia="Microsoft YaHei"/>
          <w:color w:val="55697D"/>
          <w:sz w:val="18"/>
        </w:rPr>
        <w:t>作者：Jie Zhang; Zheen Zhang; Jiachen Zhang; Xueen Chen; Thomas Pohlmann</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DOI：10.1175/jpo-d-26-0167.1</w:t>
      </w:r>
    </w:p>
    <w:p>
      <w:r>
        <w:rPr>
          <w:rFonts w:ascii="Microsoft YaHei" w:hAnsi="Microsoft YaHei" w:eastAsia="Microsoft YaHei"/>
          <w:b/>
          <w:sz w:val="19"/>
        </w:rPr>
        <w:t>关键词：vertical structure</w:t>
      </w:r>
    </w:p>
    <w:p>
      <w:r>
        <w:rPr>
          <w:rFonts w:ascii="Microsoft YaHei" w:hAnsi="Microsoft YaHei" w:eastAsia="Microsoft YaHei"/>
          <w:sz w:val="17"/>
        </w:rPr>
        <w:t>摘要：本研究基于 1993 年至 2024 年的卫星高度计观测和高分辨率区域海洋模型，研究了穿过吕宋海峡的黑潮入侵路径如何调节台湾岛西南部中尺度涡流的产生。长期统计表明，涡流的发生和极性与入侵路径密切相关：泄漏路径产生最多的涡流，循环路径有利于气旋涡流，泄漏和跳跃路径更常与反气旋涡流相关。在 2011 年的代表性案例中，从平均流到涡流场的动能传递是局部涡流生成期间的主要能量来源，与平均流中的跨流变化相关的分量对动能转换贡献最大。 三维能量学诊断进一步表明，循环路径下产生的气旋涡（CE1）具有更强的上层海洋正压不稳定性、更深的涡动能延伸以及更集中的上层海洋能量结构。相比之下，泄漏路径下产生的反气旋涡流（ACE2）表现出混合正压和斜压不稳定状态，具有更垂直均匀的能量分布。应使用额外的事件和更高分辨率的模拟进一步评估这些机械结果的稳健性。</w:t>
      </w:r>
    </w:p>
    <w:p>
      <w:r>
        <w:rPr>
          <w:rFonts w:ascii="Microsoft YaHei" w:hAnsi="Microsoft YaHei" w:eastAsia="Microsoft YaHei"/>
          <w:color w:val="0563C1"/>
          <w:sz w:val="18"/>
        </w:rPr>
        <w:t>链接：https://doi.org/10.1175/jpo-d-26-0167.1</w:t>
      </w:r>
    </w:p>
    <w:p>
      <w:pPr>
        <w:pStyle w:val="Heading2"/>
      </w:pPr>
      <w:r>
        <w:t>重点关注团队</w:t>
      </w:r>
    </w:p>
    <w:p>
      <w:pPr>
        <w:pStyle w:val="Heading3"/>
      </w:pPr>
      <w:r>
        <w:rPr>
          <w:rFonts w:ascii="Microsoft YaHei" w:hAnsi="Microsoft YaHei" w:eastAsia="Microsoft YaHei"/>
          <w:b/>
        </w:rPr>
        <w:t>5. Metagenomic insights into the effect of microcystin-LR on sulfur cycling in coastal sediments</w:t>
      </w:r>
    </w:p>
    <w:p>
      <w:r>
        <w:rPr>
          <w:rFonts w:ascii="Microsoft YaHei" w:hAnsi="Microsoft YaHei" w:eastAsia="Microsoft YaHei"/>
          <w:color w:val="55697D"/>
          <w:sz w:val="18"/>
        </w:rPr>
        <w:t>作者：Mariam Yousaf; Zelong Li; Arbaz Rehman; Jing Wang; Xiangzhi Wang; Hongxia Ming</w:t>
      </w:r>
    </w:p>
    <w:p>
      <w:r>
        <w:rPr>
          <w:rFonts w:ascii="Microsoft YaHei" w:hAnsi="Microsoft YaHei" w:eastAsia="Microsoft YaHei"/>
          <w:color w:val="55697D"/>
          <w:sz w:val="18"/>
        </w:rPr>
        <w:t>期刊：Marine Biology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DOI：10.1007/s00227-026-04956-w</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链接：https://doi.org/10.1007/s00227-026-04956-w</w:t>
      </w:r>
    </w:p>
    <w:p>
      <w:pPr>
        <w:pStyle w:val="Heading3"/>
      </w:pPr>
      <w:r>
        <w:rPr>
          <w:rFonts w:ascii="Microsoft YaHei" w:hAnsi="Microsoft YaHei" w:eastAsia="Microsoft YaHei"/>
          <w:b/>
        </w:rPr>
        <w:t>6. Integrating Dietary Characterisation and Gut Microbiome Analysis in Norway Lobster (Nephrops norvegicus) Through Gut-Isotope-DNA (GID) Approach</w:t>
      </w:r>
    </w:p>
    <w:p>
      <w:r>
        <w:rPr>
          <w:rFonts w:ascii="Microsoft YaHei" w:hAnsi="Microsoft YaHei" w:eastAsia="Microsoft YaHei"/>
          <w:color w:val="55697D"/>
          <w:sz w:val="18"/>
        </w:rPr>
        <w:t>作者：Lorenzo Zacchetti; Marco Basili; Filippo Domenichetti; Grazia Marina Quero; Marco Lauteri; Stefano Mariani; Elena Manini; Michela Martinelli</w:t>
      </w:r>
    </w:p>
    <w:p>
      <w:r>
        <w:rPr>
          <w:rFonts w:ascii="Microsoft YaHei" w:hAnsi="Microsoft YaHei" w:eastAsia="Microsoft YaHei"/>
          <w:color w:val="55697D"/>
          <w:sz w:val="18"/>
        </w:rPr>
        <w:t>期刊：Microbial Ecology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DOI：10.1007/s00248-026-02902-3</w:t>
      </w:r>
    </w:p>
    <w:p>
      <w:r>
        <w:rPr>
          <w:rFonts w:ascii="Microsoft YaHei" w:hAnsi="Microsoft YaHei" w:eastAsia="Microsoft YaHei"/>
          <w:b/>
          <w:sz w:val="19"/>
        </w:rPr>
        <w:t>关键词：microbial carbon</w:t>
      </w:r>
    </w:p>
    <w:p>
      <w:r>
        <w:rPr>
          <w:rFonts w:ascii="Microsoft YaHei" w:hAnsi="Microsoft YaHei" w:eastAsia="Microsoft YaHei"/>
          <w:sz w:val="17"/>
        </w:rPr>
        <w:t>摘要：挪威龙虾（Nephropsnorvegicus）是地中海和东北大西洋的生态和商业重要物种。因此，对其营养生态的研究对于可持续管理的目的也特别重要。据作者所知，这项工作旨在通过肠道同位素 DNA (GID) 方法首次描述甲壳类动物的肠道微生物组成和摄食生态学，该方法整合了肠道内容物、稳定同位素和 DNA 宏条形码分析。 2019 年和 2023 年在波莫坑渔业限制区（亚得里亚海）内外采集了样本，以评估饮食和微生物组的时空变化。视觉识别的猎物主要是深蹲龙虾 Iridonida spiosa，这一点也通过同位素混合模型得到证实。 然而，DNA 元条形码可以更详尽地重建挪威龙虾的混合食腐动物-捕食者行为，其饮食多样性更高，有鳍鱼类的贡献更大，2019 年记录的波莫坑内外的记录比 2023 年记录的要多。肠道微生物组的组成遵循这些营养模式，在坑外收集的标本中微生物多样性显着更高。微生物组以弧菌科、丹毒科和支原体科为主，能够比严格的饮食分析更有效地区分采样区域和年份。虽然挪威龙虾的膳食成分和肠道微生物组结构似乎是一致的，但每种技术都针对不同的生物现象，在出于管理目的整合证据时需要进行量身定制的解释和仔细考虑。</w:t>
      </w:r>
    </w:p>
    <w:p>
      <w:r>
        <w:rPr>
          <w:rFonts w:ascii="Microsoft YaHei" w:hAnsi="Microsoft YaHei" w:eastAsia="Microsoft YaHei"/>
          <w:color w:val="0563C1"/>
          <w:sz w:val="18"/>
        </w:rPr>
        <w:t>链接：https://doi.org/10.1007/s00248-026-02902-3</w:t>
      </w:r>
    </w:p>
    <w:p>
      <w:pPr>
        <w:pStyle w:val="Heading3"/>
      </w:pPr>
      <w:r>
        <w:rPr>
          <w:rFonts w:ascii="Microsoft YaHei" w:hAnsi="Microsoft YaHei" w:eastAsia="Microsoft YaHei"/>
          <w:b/>
        </w:rPr>
        <w:t>7. Single‐Microbe Transcriptomics Reveal Functional Heterogeneity in Sediment Microbiomes</w:t>
      </w:r>
    </w:p>
    <w:p>
      <w:r>
        <w:rPr>
          <w:rFonts w:ascii="Microsoft YaHei" w:hAnsi="Microsoft YaHei" w:eastAsia="Microsoft YaHei"/>
          <w:color w:val="55697D"/>
          <w:sz w:val="18"/>
        </w:rPr>
        <w:t>作者：Lingxiao Zhu; Xiao Xiong; Quantao Zhang; Wenjie Cai; Yongcheng Wang</w:t>
      </w:r>
    </w:p>
    <w:p>
      <w:r>
        <w:rPr>
          <w:rFonts w:ascii="Microsoft YaHei" w:hAnsi="Microsoft YaHei" w:eastAsia="Microsoft YaHei"/>
          <w:color w:val="55697D"/>
          <w:sz w:val="18"/>
        </w:rPr>
        <w:t>期刊：Small Methods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DOI：10.1002/smtd.71082</w:t>
      </w:r>
    </w:p>
    <w:p>
      <w:r>
        <w:rPr>
          <w:rFonts w:ascii="Microsoft YaHei" w:hAnsi="Microsoft YaHei" w:eastAsia="Microsoft YaHei"/>
          <w:b/>
          <w:sz w:val="19"/>
        </w:rPr>
        <w:t>关键词：microbial carbon</w:t>
      </w:r>
    </w:p>
    <w:p>
      <w:r>
        <w:rPr>
          <w:rFonts w:ascii="Microsoft YaHei" w:hAnsi="Microsoft YaHei" w:eastAsia="Microsoft YaHei"/>
          <w:sz w:val="17"/>
        </w:rPr>
        <w:t>摘要：沉积物微生物组驱动全球生物地球化学循环，但它们的功能异质性和转录活性很难在单细胞分辨率下解决。我们针对环境泥浆沉积物样品优化了可扩展的单微生物 RNA 测序工作流程，实现了跨环境梯度的高通量单细胞测序。该方法集成了基于碘海醇的微生物富集、优化的酶消化步骤、基于液滴的单细胞条形码和RNA测序，然后从涵盖淡水、河口和近岸海洋生境的8个复合样本中生成55 859个高质量微生物细胞的转录组图谱。与宏基因组数据的比较显示物种组成的高度一致性，支持单微生物 RNA 测序在群落分析中的可靠性。 分类学分析揭示了与甲烷氧化、硫循环和厌氧氮代谢相关的特定位点微生物群落。通过转录鉴定出 15 个不同的功能簇，显示沉积微生物组内的功能异质性。共表达网络分析进一步解析了协调的基因模块，模块活性因样本而异。总的来说，这项工作为沉积物系统中的单微生物转录组学建立了一个实用的框架，并展示了单细胞分辨率揭示复杂微生物群落内功能异质性的潜力。</w:t>
      </w:r>
    </w:p>
    <w:p>
      <w:r>
        <w:rPr>
          <w:rFonts w:ascii="Microsoft YaHei" w:hAnsi="Microsoft YaHei" w:eastAsia="Microsoft YaHei"/>
          <w:color w:val="0563C1"/>
          <w:sz w:val="18"/>
        </w:rPr>
        <w:t>链接：https://doi.org/10.1002/smtd.71082</w:t>
      </w:r>
    </w:p>
    <w:p>
      <w:pPr>
        <w:pStyle w:val="Heading3"/>
      </w:pPr>
      <w:r>
        <w:rPr>
          <w:rFonts w:ascii="Microsoft YaHei" w:hAnsi="Microsoft YaHei" w:eastAsia="Microsoft YaHei"/>
          <w:b/>
        </w:rPr>
        <w:t>8. 3D thermohaline reconstruction of mesoscale eddies using physics-regularized deep learning and multi-source sea surface products</w:t>
      </w:r>
    </w:p>
    <w:p>
      <w:r>
        <w:rPr>
          <w:rFonts w:ascii="Microsoft YaHei" w:hAnsi="Microsoft YaHei" w:eastAsia="Microsoft YaHei"/>
          <w:color w:val="55697D"/>
          <w:sz w:val="18"/>
        </w:rPr>
        <w:t>作者：Huan Tang; Zhaoyang Ma; Xinren Jiang; Jianmin Lin; Yaqing Shu; Dongfang Ma</w:t>
      </w:r>
    </w:p>
    <w:p>
      <w:r>
        <w:rPr>
          <w:rFonts w:ascii="Microsoft YaHei" w:hAnsi="Microsoft YaHei" w:eastAsia="Microsoft YaHei"/>
          <w:color w:val="55697D"/>
          <w:sz w:val="18"/>
        </w:rPr>
        <w:t>期刊：Journal of Ocean Engineering and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DOI：10.1016/j.joes.2026.09.015</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链接：https://doi.org/10.1016/j.joes.2026.09.015</w:t>
      </w:r>
    </w:p>
    <w:p>
      <w:pPr>
        <w:pStyle w:val="Heading2"/>
      </w:pPr>
      <w:r>
        <w:t>其他相关期刊：按主题相关性补充</w:t>
      </w:r>
    </w:p>
    <w:p>
      <w:pPr>
        <w:pStyle w:val="Heading3"/>
      </w:pPr>
      <w:r>
        <w:rPr>
          <w:rFonts w:ascii="Microsoft YaHei" w:hAnsi="Microsoft YaHei" w:eastAsia="Microsoft YaHei"/>
          <w:b/>
        </w:rPr>
        <w:t>9. Ecological Responses of Phytoplankton to a Submesoscale Eddy in the Agulhas Current System</w:t>
      </w:r>
    </w:p>
    <w:p>
      <w:r>
        <w:rPr>
          <w:rFonts w:ascii="Microsoft YaHei" w:hAnsi="Microsoft YaHei" w:eastAsia="Microsoft YaHei"/>
          <w:color w:val="55697D"/>
          <w:sz w:val="18"/>
        </w:rPr>
        <w:t>作者：Qiwei Hu; Zhishuo Man; Haojie Luo; Shujie Yu; Changyuan Zhu</w:t>
      </w:r>
    </w:p>
    <w:p>
      <w:r>
        <w:rPr>
          <w:rFonts w:ascii="Microsoft YaHei" w:hAnsi="Microsoft YaHei" w:eastAsia="Microsoft YaHei"/>
          <w:color w:val="55697D"/>
          <w:sz w:val="18"/>
        </w:rPr>
        <w:t>期刊：Ecologies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DOI：10.3390/ecologies7040105</w:t>
      </w:r>
    </w:p>
    <w:p>
      <w:r>
        <w:rPr>
          <w:rFonts w:ascii="Microsoft YaHei" w:hAnsi="Microsoft YaHei" w:eastAsia="Microsoft YaHei"/>
          <w:b/>
          <w:sz w:val="19"/>
        </w:rPr>
        <w:t>关键词：carbon pump; phytoplankton; vertical structure</w:t>
      </w:r>
    </w:p>
    <w:p>
      <w:r>
        <w:rPr>
          <w:rFonts w:ascii="Microsoft YaHei" w:hAnsi="Microsoft YaHei" w:eastAsia="Microsoft YaHei"/>
          <w:sz w:val="17"/>
        </w:rPr>
        <w:t>摘要：次中尺度涡流强烈调节着上层海洋的物理-生物相互作用，但由于传统的卫星测量缺乏足够的空间分辨率，其生态影响仍然很少被观察到。在这里，我们将地表水和海洋地形 (SWOT) 海面高度观测与多分辨率 VIIRS 海洋颜色数据结合起来，研究浮游植物对南非附近厄加勒斯洋流系统中的亚中尺度涡流的反应。 SWOT 解决了海面高度异常为 15 厘米、半径仅为 15 公里的紧凑气旋涡旋。相比之下，传统 DUACS 测高产品几乎完全不存在涡流。近乎同步的 750 m VIIRS 观测揭示了与涡流一致的叶绿素 a (Chla) 和颗粒有机碳 (POC) 的局部增强。 750 m 观测还捕获了更高的局部极值，Chla 超过 0. 60 mg m−3，POC 超过 120 mg m−3。这些生物学特征在 4 公里和 9 公里产品中逐渐减弱，表明粗分辨率观测可以平滑细尺度 Chla 和 POC 变异性。水文观测揭示了冷核结构和稠密地下水的向上位移。这些观察结果表明，次中尺度上升流和锋面辐合共同促进局部 Chla 和 POC 增强。我们的结果揭示了亚尺度物理变异性与局部生物变异性之间的关联。他们强调了将 SWOT 与高分辨率海洋颜色观测相结合以研究精细生态系统动态和相关碳变异性的潜力。</w:t>
      </w:r>
    </w:p>
    <w:p>
      <w:r>
        <w:rPr>
          <w:rFonts w:ascii="Microsoft YaHei" w:hAnsi="Microsoft YaHei" w:eastAsia="Microsoft YaHei"/>
          <w:color w:val="0563C1"/>
          <w:sz w:val="18"/>
        </w:rPr>
        <w:t>链接：https://doi.org/10.3390/ecologies7040105</w:t>
      </w:r>
    </w:p>
    <w:p>
      <w:pPr>
        <w:pStyle w:val="Heading3"/>
      </w:pPr>
      <w:r>
        <w:rPr>
          <w:rFonts w:ascii="Microsoft YaHei" w:hAnsi="Microsoft YaHei" w:eastAsia="Microsoft YaHei"/>
          <w:b/>
        </w:rPr>
        <w:t>10. Coastal Groundwater Sustainability in Keralam, India: A Critical Review of GIS-and Remote Sensing-based Seawater Intrusion Vulnerability Assessment</w:t>
      </w:r>
    </w:p>
    <w:p>
      <w:r>
        <w:rPr>
          <w:rFonts w:ascii="Microsoft YaHei" w:hAnsi="Microsoft YaHei" w:eastAsia="Microsoft YaHei"/>
          <w:color w:val="55697D"/>
          <w:sz w:val="18"/>
        </w:rPr>
        <w:t>作者：Arjun Ram Gopi; Pottepaka Shravan; Rachcha Arun</w:t>
      </w:r>
    </w:p>
    <w:p>
      <w:r>
        <w:rPr>
          <w:rFonts w:ascii="Microsoft YaHei" w:hAnsi="Microsoft YaHei" w:eastAsia="Microsoft YaHei"/>
          <w:color w:val="55697D"/>
          <w:sz w:val="18"/>
        </w:rPr>
        <w:t>期刊：Asian Journal of Environment &amp; Ecology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DOI：10.9734/ajee/2026/v25i101031</w:t>
      </w:r>
    </w:p>
    <w:p>
      <w:r>
        <w:rPr>
          <w:rFonts w:ascii="Microsoft YaHei" w:hAnsi="Microsoft YaHei" w:eastAsia="Microsoft YaHei"/>
          <w:b/>
          <w:sz w:val="19"/>
        </w:rPr>
        <w:t>关键词：carbon pump; ocean colour</w:t>
      </w:r>
    </w:p>
    <w:p>
      <w:r>
        <w:rPr>
          <w:rFonts w:ascii="Microsoft YaHei" w:hAnsi="Microsoft YaHei" w:eastAsia="Microsoft YaHei"/>
          <w:sz w:val="17"/>
        </w:rPr>
        <w:t>摘要：喀拉拉邦 590 公里的海岸线涵盖该州 14 个县中的 9 个，沿海人口极其密集，水文地质特征独特，包括狭窄的红土和冲积沿海含水层、以 Vembanad、Ashtamudi 和 Kallada 系统为中心的长达 1,500 公里的回水和河口网络，以及季风驱动的强烈补给，季节性与严重的地下水压力交替出现。这篇批判性综述综合了 2018 年至 2026 年期间主要在同行评审和索引期刊上发表的研究证据，以评估如何应用地理信息系统 (GIS)、卫星遥感和参数脆弱性指数（主要是 GALDIT 和 DRASTIC 以及本地修改的变体，如 GALDIT-U）来表征喀拉拉邦沿海含水层的海水入侵 (SWI) 风险。 审查发现，地区一级的研究覆盖范围明显不均匀：埃尔讷古勒姆、科泽科德和最近的特里凡得琅使用脆弱性指数、水化学分析、电阻率和数值模拟的不同组合进行了调查，而科拉姆、特里苏尔、坎努尔和卡萨拉戈德尽管有记录的盐度问题，但研究相对不足。喀拉拉邦以红土为主的水文地质和强烈的季风补给通常会抑制相对于印度其他三角洲海岸的 GALDIT 指数脆弱性，但城市化、回水邻近、地下水过度开采和海岸侵蚀会产生明显的局部高脆弱性区域，特别是在科钦、科泽科德和特里凡得琅的城市和港口边缘周围。 RCP4 下的海平面上升预测。 5 和 RCP8。 5 个情景也已纳入地下水和海水入侵建模，而可解释的机器学习和蒙特卡罗不确定性框架才刚刚开始在该州应用。审查最后确定了优先差距：地区级和季节性监测覆盖范围不均匀、基于 GIS 的脆弱性地图的水化学或地球物理验证有限、动态土地利用变化与指数参数化的整合程度最低、以及喀拉拉邦整个沿海梯度缺乏全州范围的标准化比较评估。</w:t>
      </w:r>
    </w:p>
    <w:p>
      <w:r>
        <w:rPr>
          <w:rFonts w:ascii="Microsoft YaHei" w:hAnsi="Microsoft YaHei" w:eastAsia="Microsoft YaHei"/>
          <w:color w:val="0563C1"/>
          <w:sz w:val="18"/>
        </w:rPr>
        <w:t>链接：https://doi.org/10.9734/ajee/2026/v25i101031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