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检索日期：2026-09-29 | GitHub Actions 自动生成</w:t>
      </w:r>
    </w:p>
    <w:p>
      <w:pPr>
        <w:pStyle w:val="Heading1"/>
      </w:pPr>
      <w:r>
        <w:t>今日总览</w:t>
      </w:r>
    </w:p>
    <w:p>
      <w:r>
        <w:rPr>
          <w:rFonts w:ascii="Microsoft YaHei" w:hAnsi="Microsoft YaHei" w:eastAsia="Microsoft YaHei"/>
        </w:rPr>
        <w:t>历史去重后今日新增 7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Tree-microbe-soil interactions affecting soil organic carbon fractions in Mediterranean forest soils</w:t>
      </w:r>
    </w:p>
    <w:p>
      <w:r>
        <w:rPr>
          <w:rFonts w:ascii="Microsoft YaHei" w:hAnsi="Microsoft YaHei" w:eastAsia="Microsoft YaHei"/>
          <w:color w:val="55697D"/>
          <w:sz w:val="18"/>
        </w:rPr>
        <w:t>作者：Stav Livne-Luzon; Assaf Yaakobi; David Yalin; Dagan Sade; Efrat Dener; Yaara Oppenheimer-Shaanan; Tamir Klein</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DOI：10.5194/bg-23-6763-2026</w:t>
      </w:r>
    </w:p>
    <w:p>
      <w:r>
        <w:rPr>
          <w:rFonts w:ascii="Microsoft YaHei" w:hAnsi="Microsoft YaHei" w:eastAsia="Microsoft YaHei"/>
          <w:b/>
          <w:sz w:val="19"/>
        </w:rPr>
        <w:t>关键词：carbon pump; microbial carbon</w:t>
      </w:r>
    </w:p>
    <w:p>
      <w:r>
        <w:rPr>
          <w:rFonts w:ascii="Microsoft YaHei" w:hAnsi="Microsoft YaHei" w:eastAsia="Microsoft YaHei"/>
          <w:sz w:val="17"/>
        </w:rPr>
        <w:t>摘要：土壤有机碳（SOC）代表了主要的陆地碳库，但调节其储存的过程仍然不确定，特别是在水资源有限的浅层土壤生态系统中。将 SOC 分为矿物相关有机碳（MAOC）（被认为更持久）和颗粒有机碳（POC）（更不稳定），可以深入了解控制土壤碳储存的机制。我们研究了成熟地中海森林中 SOC 及其分数如何受到树种组成、土壤理化性质和微生物群落的影响，这些森林以单一林分或混合林中的哈氏松（冠层针叶树）、栎树（亚冠层阔叶树）和黄连木（林下木本灌木）为主。我们进一步研究了这些关系在森林微站点（即 ，树冠下方和邻近的森林间隙）。在整个微站点中，树冠下的 SOC 浓度比森林间隙高出两倍，栎树地块储存的 SOC 比松树和黄连木地块多 10%–30%。 SOC 变化主要由 POC 解释，与单特异性地块相比，混合地块的 SOC 变化往往更高。相比之下，MAOC 显示出明显的饱和模式，达到约 45 g C kg -1 土壤，并且受到粘土和淤泥含量的强烈限制，表明在接近饱和的土壤中额外与矿物相关的碳储存潜力有限。与树木相关的土壤碳变化伴随着微生物群落组成的变化，而微生物群落组成的变化很大程度上取决于微场地条件。 特别是，树冠下的细菌群落代表了森林间隙中更多样化的群落的子集，这表明树木引起的土壤条件变化充当了微生物组合的环境过滤器。然而，微生物丰富度本身的变化与 SOC、POC 或 MAOC 的变化并不总是相关。总之，这些结果表明，树木对 SOC 的影响是通过物种特性、微场地条件、土壤理化限制和微生物群落组成之间的相互作用而出现的，并对不稳定和矿物相关的碳库进行了不同的控制。据估计，混合林比单一松林多储存约 6. 1 Mg C ha −1 的 SOC，这种差异主要与不稳定的 POC 库有关，特别是在 MAOC 已经接近饱和的情况下。</w:t>
      </w:r>
    </w:p>
    <w:p>
      <w:r>
        <w:rPr>
          <w:rFonts w:ascii="Microsoft YaHei" w:hAnsi="Microsoft YaHei" w:eastAsia="Microsoft YaHei"/>
          <w:color w:val="0563C1"/>
          <w:sz w:val="18"/>
        </w:rPr>
        <w:t>链接：https://doi.org/10.5194/bg-23-6763-2026</w:t>
      </w:r>
    </w:p>
    <w:p>
      <w:pPr>
        <w:pStyle w:val="Heading3"/>
      </w:pPr>
      <w:r>
        <w:rPr>
          <w:rFonts w:ascii="Microsoft YaHei" w:hAnsi="Microsoft YaHei" w:eastAsia="Microsoft YaHei"/>
          <w:b/>
        </w:rPr>
        <w:t>2. A Spatial-Spectral Collaborative Method for Radiometric Cross-Calibration of Ocean Color Satellite Sensors</w:t>
      </w:r>
    </w:p>
    <w:p>
      <w:r>
        <w:rPr>
          <w:rFonts w:ascii="Microsoft YaHei" w:hAnsi="Microsoft YaHei" w:eastAsia="Microsoft YaHei"/>
          <w:color w:val="55697D"/>
          <w:sz w:val="18"/>
        </w:rPr>
        <w:t>作者：Xiaojuan Guo; Peng Ren; Yanfang Xiao; Xin Zhao; Qingjun Song; Xiaomin Ye; Keunyong Kim; Qianlong Xie; et al.</w:t>
      </w:r>
    </w:p>
    <w:p>
      <w:r>
        <w:rPr>
          <w:rFonts w:ascii="Microsoft YaHei" w:hAnsi="Microsoft YaHei" w:eastAsia="Microsoft YaHei"/>
          <w:color w:val="55697D"/>
          <w:sz w:val="18"/>
        </w:rPr>
        <w:t>期刊：IEEE Transactions on Geoscience and Remote Sensing</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DOI：10.1109/tgrs.2026.3737773</w:t>
      </w:r>
    </w:p>
    <w:p>
      <w:r>
        <w:rPr>
          <w:rFonts w:ascii="Microsoft YaHei" w:hAnsi="Microsoft YaHei" w:eastAsia="Microsoft YaHei"/>
          <w:b/>
          <w:sz w:val="19"/>
        </w:rPr>
        <w:t>关键词：ocean colour</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链接：https://doi.org/10.1109/tgrs.2026.3737773</w:t>
      </w:r>
    </w:p>
    <w:p>
      <w:pPr>
        <w:pStyle w:val="Heading3"/>
      </w:pPr>
      <w:r>
        <w:rPr>
          <w:rFonts w:ascii="Microsoft YaHei" w:hAnsi="Microsoft YaHei" w:eastAsia="Microsoft YaHei"/>
          <w:b/>
        </w:rPr>
        <w:t>3. Spatiotemporal monitoring of harmful algal blooms using time-series Sentinel-2 MSI Level-2A imagery: a case study of El-Mex Bay, Alexandria, Egypt</w:t>
      </w:r>
    </w:p>
    <w:p>
      <w:r>
        <w:rPr>
          <w:rFonts w:ascii="Microsoft YaHei" w:hAnsi="Microsoft YaHei" w:eastAsia="Microsoft YaHei"/>
          <w:color w:val="55697D"/>
          <w:sz w:val="18"/>
        </w:rPr>
        <w:t>作者：Samia K. Mikhail; Muhammad A. El-Alfy; Neama M. Khalil; Ehab A. Beltagy; Gehan A. Ismail; Mostafa E. Elshobary</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DOI：10.3389/fmars.2026.1872850</w:t>
      </w:r>
    </w:p>
    <w:p>
      <w:r>
        <w:rPr>
          <w:rFonts w:ascii="Microsoft YaHei" w:hAnsi="Microsoft YaHei" w:eastAsia="Microsoft YaHei"/>
          <w:b/>
          <w:sz w:val="19"/>
        </w:rPr>
        <w:t>关键词：phytoplankton; bio-optics</w:t>
      </w:r>
    </w:p>
    <w:p>
      <w:r>
        <w:rPr>
          <w:rFonts w:ascii="Microsoft YaHei" w:hAnsi="Microsoft YaHei" w:eastAsia="Microsoft YaHei"/>
          <w:sz w:val="17"/>
        </w:rPr>
        <w:t>摘要：简介 有害藻华 (HAB) 对全球水生生态系统、渔业和公共卫生构成重大威胁。材料和方法 本研究通过将原位物理化学和浮游植物数据与通过 ArcGIS 10 处理的 Sentinel-2 多光谱图像相结合，调查了埃及亚历山大高度富营养化 El-Mex 湾内两个站（El-Fanar 和 El-Mex）的水华动态。 5. 三个光谱指数：赤潮指数 (RTI)、最大叶绿素指数 (MCI) 和归一化叶绿素指数(NDCI) 使用文献参考的阈值方法进行计算和评估。结果和讨论 2023 年夏季的水华主要是多特异性的，以原甲藻、中肋骨条藻、圆状海链藻和赤潮异形藻为主。 RTI 和 NDCI 平均像素覆盖率在 8 月达到峰值，而 MCI 最大值出现在 7 月，这与叶绿素积累一致。主成分分析 (PCA) 显示 RTI 和 MCI 解释了近 100% 的光谱方差，证实了它们作为主要水华指标的效用。根据提取的 RTI 值对赤潮进行的验证证明，两个研究地点处于高度富营养化状态，并在 8 月份记录了赤潮。水温和无机养分浓度是水华起始和演替的主要环境驱动因素。 Pearson相关分析表明，浮游植物总丰度与水温、赤潮鱼丰度、叶绿素呈正相关。 a，而温度与物种丰富度、多样性和均匀度呈负相关。相比之下，S. costatum 与硝酸盐、硅酸盐和多样性指数呈正相关，表明组合更加多样化。这些结果确定温度和养分有效性是花朵发育和演替的主要驱动因素。 Sentinel-2 图像、光谱指数和生态指标的集成为光学复杂的沿海水域中的近实时 HAB 监测提供了有效的框架。</w:t>
      </w:r>
    </w:p>
    <w:p>
      <w:r>
        <w:rPr>
          <w:rFonts w:ascii="Microsoft YaHei" w:hAnsi="Microsoft YaHei" w:eastAsia="Microsoft YaHei"/>
          <w:color w:val="0563C1"/>
          <w:sz w:val="18"/>
        </w:rPr>
        <w:t>链接：https://doi.org/10.3389/fmars.2026.1872850</w:t>
      </w:r>
    </w:p>
    <w:p>
      <w:pPr>
        <w:pStyle w:val="Heading2"/>
      </w:pPr>
      <w:r>
        <w:t>重点关注团队</w:t>
      </w:r>
    </w:p>
    <w:p>
      <w:pPr>
        <w:pStyle w:val="Heading3"/>
      </w:pPr>
      <w:r>
        <w:rPr>
          <w:rFonts w:ascii="Microsoft YaHei" w:hAnsi="Microsoft YaHei" w:eastAsia="Microsoft YaHei"/>
          <w:b/>
        </w:rPr>
        <w:t>4. Escalating Herbicide Loads as Underappreciated Global Disruptors of Marine Phytoplankton and Biogeochemical Cycles</w:t>
      </w:r>
    </w:p>
    <w:p>
      <w:r>
        <w:rPr>
          <w:rFonts w:ascii="Microsoft YaHei" w:hAnsi="Microsoft YaHei" w:eastAsia="Microsoft YaHei"/>
          <w:color w:val="55697D"/>
          <w:sz w:val="18"/>
        </w:rPr>
        <w:t>作者：Sarvalingam Barathkumar; Shailesh Nair; Shanli Mou; Bo Zhang; Dongyan Liu; Nianzhi Jiao; Yongyu Zhang</w:t>
      </w:r>
    </w:p>
    <w:p>
      <w:r>
        <w:rPr>
          <w:rFonts w:ascii="Microsoft YaHei" w:hAnsi="Microsoft YaHei" w:eastAsia="Microsoft YaHei"/>
          <w:color w:val="55697D"/>
          <w:sz w:val="18"/>
        </w:rPr>
        <w:t>期刊：Environmental Science &amp; Technology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DOI：10.1021/acs.est.6c13690</w:t>
      </w:r>
    </w:p>
    <w:p>
      <w:r>
        <w:rPr>
          <w:rFonts w:ascii="Microsoft YaHei" w:hAnsi="Microsoft YaHei" w:eastAsia="Microsoft YaHei"/>
          <w:b/>
          <w:sz w:val="19"/>
        </w:rPr>
        <w:t>关键词：carbon pump; phytoplankton; microbial carbon</w:t>
      </w:r>
    </w:p>
    <w:p>
      <w:r>
        <w:rPr>
          <w:rFonts w:ascii="Microsoft YaHei" w:hAnsi="Microsoft YaHei" w:eastAsia="Microsoft YaHei"/>
          <w:sz w:val="17"/>
        </w:rPr>
        <w:t>摘要：在气候变化加速和人为压力下，全球海洋面临着从陆地到海洋污染物排放的前所未有的威胁。其中，除草剂是一种阴险但被忽视的污染物，会危害浮游植物，而浮游植物是海洋食物网、养分循环和碳封存的基石。在这里，我们综合了三十年的观测和建模数据，揭示了全球沿海海洋持续和广泛的除草剂排放，生产性封闭和半封闭海洋的除草剂浓度比开放沿海水域高 4. 9 倍。至关重要的是，除草剂代谢物在传统监测中被系统地忽视，其浓度超过母体化合物 1. 43-18 倍，浮游植物毒性超过母体化合物 2-10 倍，大大低估了真正的生态风险。 在环境相关浓度下，0. 03–1 μg/L 的 PSII 抑制剂会损害敏感硅藻的光合作用，重组群落，对更高的营养水平和生物地球化学过程产生级联效应。对 352 个全球分布的原位测量结果的分析表明，11. 9% 的沿海监测观测结果已经超过了源自浮游植物毒性终点的植物毒性阈值，这证实了与生态相关的除草剂暴露是一个可凭经验证明的现实。除了浮游植物之外，除草剂还会破坏氮、磷、二氧化硅和微量金属的海洋生物地球化学循环，通过损害生物和微生物碳泵来共同削弱沿海碳封存。气候变化可能会通过增加除草剂流入和协同应激相互作用来加剧这些影响。 我们的综合报告确定了监测覆盖范围、机制框架和多压力源相互作用方面的三个相互关联的知识差距，敦促协调监测、生态系统规模评估和源减少策略。</w:t>
      </w:r>
    </w:p>
    <w:p>
      <w:r>
        <w:rPr>
          <w:rFonts w:ascii="Microsoft YaHei" w:hAnsi="Microsoft YaHei" w:eastAsia="Microsoft YaHei"/>
          <w:color w:val="0563C1"/>
          <w:sz w:val="18"/>
        </w:rPr>
        <w:t>链接：https://doi.org/10.1021/acs.est.6c13690</w:t>
      </w:r>
    </w:p>
    <w:p>
      <w:pPr>
        <w:pStyle w:val="Heading3"/>
      </w:pPr>
      <w:r>
        <w:rPr>
          <w:rFonts w:ascii="Microsoft YaHei" w:hAnsi="Microsoft YaHei" w:eastAsia="Microsoft YaHei"/>
          <w:b/>
        </w:rPr>
        <w:t>5. Phytoplankton Dynamics in Contrasting Coastal Embayments of South Australia: Implications for Bivalve Aquaculture</w:t>
      </w:r>
    </w:p>
    <w:p>
      <w:r>
        <w:rPr>
          <w:rFonts w:ascii="Microsoft YaHei" w:hAnsi="Microsoft YaHei" w:eastAsia="Microsoft YaHei"/>
          <w:color w:val="55697D"/>
          <w:sz w:val="18"/>
        </w:rPr>
        <w:t>作者：Maziidah A. Rahman; Shaun Henderson; Paul D. van Ruth; Xiaoxu Li; Yan Li</w:t>
      </w:r>
    </w:p>
    <w:p>
      <w:r>
        <w:rPr>
          <w:rFonts w:ascii="Microsoft YaHei" w:hAnsi="Microsoft YaHei" w:eastAsia="Microsoft YaHei"/>
          <w:color w:val="55697D"/>
          <w:sz w:val="18"/>
        </w:rPr>
        <w:t>期刊：Aquatic Life and Ecosystems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DOI：10.53941/ale.2026.100013</w:t>
      </w:r>
    </w:p>
    <w:p>
      <w:r>
        <w:rPr>
          <w:rFonts w:ascii="Microsoft YaHei" w:hAnsi="Microsoft YaHei" w:eastAsia="Microsoft YaHei"/>
          <w:b/>
          <w:sz w:val="19"/>
        </w:rPr>
        <w:t>关键词：phytoplankton</w:t>
      </w:r>
    </w:p>
    <w:p>
      <w:r>
        <w:rPr>
          <w:rFonts w:ascii="Microsoft YaHei" w:hAnsi="Microsoft YaHei" w:eastAsia="Microsoft YaHei"/>
          <w:sz w:val="17"/>
        </w:rPr>
        <w:t>摘要：这项研究调查了两个截然不同的牡蛎养殖海湾——科芬湾和富兰克林港（南澳大利亚艾尔半岛）的季节性浮游植物群落，以评估环境条件如何影响整个浮游植物尺寸范围内的食物供应。在这两个海湾，养分可用性是夏季浮游植物动态的主要驱动因素，而物理条件的季节性变化与浮游植物群落从贫营养向中营养组合的转变同时发生。在科芬湾，该群落以超微型浮游生物（20 µm）为主。外科芬湾的生产力主要由流入的陆架水域支撑，维持了超微核生物生物量峰值 (44. 27 µg C L−1)，并因大澳大利亚湾东部夏末的上升流事件而进一步增强。 然而，富兰克林港的生产力主要是内部产生的，南端的微微核生物生物量最高（68. 15 µg C L−1）。这项研究为两个截然不同的海湾的整个范围内的浮游植物动态提供了新的见解。研究结果表明，浮游植物大小范围的变化如何为沿海生产力和承载能力的评估提供信息，并对温带沿海地区双壳类水产养殖的可持续管理产生影响。</w:t>
      </w:r>
    </w:p>
    <w:p>
      <w:r>
        <w:rPr>
          <w:rFonts w:ascii="Microsoft YaHei" w:hAnsi="Microsoft YaHei" w:eastAsia="Microsoft YaHei"/>
          <w:color w:val="0563C1"/>
          <w:sz w:val="18"/>
        </w:rPr>
        <w:t>链接：https://doi.org/10.53941/ale.2026.100013</w:t>
      </w:r>
    </w:p>
    <w:p>
      <w:pPr>
        <w:pStyle w:val="Heading2"/>
      </w:pPr>
      <w:r>
        <w:t>其他相关期刊：按主题相关性补充</w:t>
      </w:r>
    </w:p>
    <w:p>
      <w:pPr>
        <w:pStyle w:val="Heading3"/>
      </w:pPr>
      <w:r>
        <w:rPr>
          <w:rFonts w:ascii="Microsoft YaHei" w:hAnsi="Microsoft YaHei" w:eastAsia="Microsoft YaHei"/>
          <w:b/>
        </w:rPr>
        <w:t>6. RESPONSE OF PHYTOPLANKTON AND ZOOPLANKTON TO THERMAL DISCHARGE FROM A COASTAL POWER PLANT AT JAIGAD, RATNAGIRI, MAHARASHTRA</w:t>
      </w:r>
    </w:p>
    <w:p>
      <w:r>
        <w:rPr>
          <w:rFonts w:ascii="Microsoft YaHei" w:hAnsi="Microsoft YaHei" w:eastAsia="Microsoft YaHei"/>
          <w:color w:val="55697D"/>
          <w:sz w:val="18"/>
        </w:rPr>
        <w:t>作者：A.S. Tekade; G.N. Kulkarni; S.T. Indulkar</w:t>
      </w:r>
    </w:p>
    <w:p>
      <w:r>
        <w:rPr>
          <w:rFonts w:ascii="Microsoft YaHei" w:hAnsi="Microsoft YaHei" w:eastAsia="Microsoft YaHei"/>
          <w:color w:val="55697D"/>
          <w:sz w:val="18"/>
        </w:rPr>
        <w:t>期刊：Pollution Research</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DOI：10.53550/pr.2026.v45i4.021</w:t>
      </w:r>
    </w:p>
    <w:p>
      <w:r>
        <w:rPr>
          <w:rFonts w:ascii="Microsoft YaHei" w:hAnsi="Microsoft YaHei" w:eastAsia="Microsoft YaHei"/>
          <w:b/>
          <w:sz w:val="19"/>
        </w:rPr>
        <w:t>关键词：phytoplankton</w:t>
      </w:r>
    </w:p>
    <w:p>
      <w:r>
        <w:rPr>
          <w:rFonts w:ascii="Microsoft YaHei" w:hAnsi="Microsoft YaHei" w:eastAsia="Microsoft YaHei"/>
          <w:sz w:val="17"/>
        </w:rPr>
        <w:t>摘要：本次调查评估了马哈拉施特拉邦拉特纳吉里 Jaigad 沿海发电厂的热流出物对近岸沿海水域浮游植物和相关浮游动物的影响。 2014年9月至2015年5月期间使用机动渔船每月进行采样。目前的详细分析考虑了五个代表性采样站（S1、S3、S5、S6 和 S8），涵盖参考站和近海梯度。退潮期间采集地表水和底层水样品。用 60 µm 浮游生物网收集浮游植物和浮游动物，保存在 5% 中和福尔马林中并进行显微镜检查。用 90% 丙酮提取后，通过分光光度法估算叶绿素-a。在 S1 时，叶绿素 a 的变化范围为 1. 15 至 8. 26 mg m-3，浮游植物丰度为 340 至 1855 个。 l-1。 在 S3 处，相应的范围为 0. 17–3。 96 毫克立方米和 175–390 个。 l-1。在 S5、S6 和 S8，叶绿素-a 的范围为 1. 32–6。 25, 1. 32–7. 56 和 1。34-7。分别为 69 毫克立方米。这些站的浮游植物丰度范围为 915-1897、590-1350 和 270-1120。分别为l-1。硅藻形成了主要的浮游植物群，其中圆盘藻、骨条藻、舟形藻、细柱藻、脆杆藻、侧藻、菱形藻、二柱藻和角毛藻是主要记录的类型。浮游动物以桡足类为主，尤其是桡足类。污水影响区附近的叶绿素-a 和浮游植物减少，随后向近海站恢复，表明热排放的影响是局部的。沿海水域的整体浮游状况并未显示热排放造成持续的不利影响。</w:t>
      </w:r>
    </w:p>
    <w:p>
      <w:r>
        <w:rPr>
          <w:rFonts w:ascii="Microsoft YaHei" w:hAnsi="Microsoft YaHei" w:eastAsia="Microsoft YaHei"/>
          <w:color w:val="0563C1"/>
          <w:sz w:val="18"/>
        </w:rPr>
        <w:t>链接：https://doi.org/10.53550/pr.2026.v45i4.021</w:t>
      </w:r>
    </w:p>
    <w:p>
      <w:pPr>
        <w:pStyle w:val="Heading3"/>
      </w:pPr>
      <w:r>
        <w:rPr>
          <w:rFonts w:ascii="Microsoft YaHei" w:hAnsi="Microsoft YaHei" w:eastAsia="Microsoft YaHei"/>
          <w:b/>
        </w:rPr>
        <w:t>7. REMOTE SENSING AND GIS APPROACHES TOWARD SUSTAINABLE MANAGEMENT OF MARINE AQUACULTURE IN INDONESIA</w:t>
      </w:r>
    </w:p>
    <w:p>
      <w:r>
        <w:rPr>
          <w:rFonts w:ascii="Microsoft YaHei" w:hAnsi="Microsoft YaHei" w:eastAsia="Microsoft YaHei"/>
          <w:color w:val="55697D"/>
          <w:sz w:val="18"/>
        </w:rPr>
        <w:t>作者：I Nyoman Radiarta</w:t>
      </w:r>
    </w:p>
    <w:p>
      <w:r>
        <w:rPr>
          <w:rFonts w:ascii="Microsoft YaHei" w:hAnsi="Microsoft YaHei" w:eastAsia="Microsoft YaHei"/>
          <w:color w:val="55697D"/>
          <w:sz w:val="18"/>
        </w:rPr>
        <w:t>期刊：Indonesian Aquaculture Journal</w:t>
      </w:r>
    </w:p>
    <w:p>
      <w:r>
        <w:rPr>
          <w:rFonts w:ascii="Microsoft YaHei" w:hAnsi="Microsoft YaHei" w:eastAsia="Microsoft YaHei"/>
          <w:color w:val="55697D"/>
          <w:sz w:val="18"/>
        </w:rPr>
        <w:t>发表月份：2013-12</w:t>
      </w:r>
    </w:p>
    <w:p>
      <w:r>
        <w:rPr>
          <w:rFonts w:ascii="Microsoft YaHei" w:hAnsi="Microsoft YaHei" w:eastAsia="Microsoft YaHei"/>
          <w:color w:val="55697D"/>
          <w:sz w:val="18"/>
        </w:rPr>
        <w:t>DOI：10.15578/iaj.8.2.2013.173-179</w:t>
      </w:r>
    </w:p>
    <w:p>
      <w:r>
        <w:rPr>
          <w:rFonts w:ascii="Microsoft YaHei" w:hAnsi="Microsoft YaHei" w:eastAsia="Microsoft YaHei"/>
          <w:b/>
          <w:sz w:val="19"/>
        </w:rPr>
        <w:t>关键词：ocean colour</w:t>
      </w:r>
    </w:p>
    <w:p>
      <w:r>
        <w:rPr>
          <w:rFonts w:ascii="Microsoft YaHei" w:hAnsi="Microsoft YaHei" w:eastAsia="Microsoft YaHei"/>
          <w:sz w:val="17"/>
        </w:rPr>
        <w:t>摘要：随着该行业的急剧增长，可持续海水养殖（海水养殖）变得越来越重要。为了确保长期可持续性，规划是一个重要的过程，将刺激和指导该部门的评估。许多海水养殖问题本质上完全是空间问题（例如选址、分区），或者具有重要的空间要素（潜在的海水养殖区、海水养殖的影响、与其他用户的空间竞争）。卫星遥感与地理信息系统（GIS）相结合，可以在海水养殖开发和管理的所有地理和空间方面发挥重要作用。不断发展的地理信息系统和遥感对于海水养殖可持续性的潜在能力为高效和具有成本效益的管理提供了强大的工具。 这些技术对于促进与海水养殖相关的决策过程也很有用。本文试图简单地描述一些可以有效利用 GIS 和遥感来辅助支持可持续海水养殖发展的方法。</w:t>
      </w:r>
    </w:p>
    <w:p>
      <w:r>
        <w:rPr>
          <w:rFonts w:ascii="Microsoft YaHei" w:hAnsi="Microsoft YaHei" w:eastAsia="Microsoft YaHei"/>
          <w:color w:val="0563C1"/>
          <w:sz w:val="18"/>
        </w:rPr>
        <w:t>链接：https://doi.org/10.15578/iaj.8.2.2013.173-179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