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检索日期：2026-09-07 | GitHub Actions 自动生成</w:t>
      </w:r>
    </w:p>
    <w:p>
      <w:pPr>
        <w:pStyle w:val="Heading1"/>
      </w:pPr>
      <w:r>
        <w:t>今日总览</w:t>
      </w:r>
    </w:p>
    <w:p>
      <w:r>
        <w:rPr>
          <w:rFonts w:ascii="Microsoft YaHei" w:hAnsi="Microsoft YaHei" w:eastAsia="Microsoft YaHei"/>
        </w:rPr>
        <w:t>历史去重后今日新增 6 篇。排序规则：Nature 系列、Science 系列、其余重点期刊、重点关注团队、其他相关补充论文。</w:t>
      </w:r>
    </w:p>
    <w:p>
      <w:pPr>
        <w:pStyle w:val="Heading1"/>
      </w:pPr>
      <w:r>
        <w:t>论文速读</w:t>
      </w:r>
    </w:p>
    <w:p>
      <w:pPr>
        <w:pStyle w:val="Heading2"/>
      </w:pPr>
      <w:r>
        <w:t>重点期刊：按影响力和相关性排序</w:t>
      </w:r>
    </w:p>
    <w:p>
      <w:pPr>
        <w:pStyle w:val="Heading3"/>
      </w:pPr>
      <w:r>
        <w:rPr>
          <w:rFonts w:ascii="Microsoft YaHei" w:hAnsi="Microsoft YaHei" w:eastAsia="Microsoft YaHei"/>
          <w:b/>
        </w:rPr>
        <w:t>1. An Integrated Oceanographic and Physiological Framework for Identifying Climate Refugia for Marine Invertebrates</w:t>
      </w:r>
    </w:p>
    <w:p>
      <w:r>
        <w:rPr>
          <w:rFonts w:ascii="Microsoft YaHei" w:hAnsi="Microsoft YaHei" w:eastAsia="Microsoft YaHei"/>
          <w:color w:val="55697D"/>
          <w:sz w:val="18"/>
        </w:rPr>
        <w:t>作者：Mikaela M. Provost; Giulio de Leo; Brock Woodson; Mario Ramade Villanueva; Fiorenza Micheli</w:t>
      </w:r>
    </w:p>
    <w:p>
      <w:r>
        <w:rPr>
          <w:rFonts w:ascii="Microsoft YaHei" w:hAnsi="Microsoft YaHei" w:eastAsia="Microsoft YaHei"/>
          <w:color w:val="55697D"/>
          <w:sz w:val="18"/>
        </w:rPr>
        <w:t>期刊：Global Change Biology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DOI：10.1111/gcb.71091</w:t>
      </w:r>
    </w:p>
    <w:p>
      <w:r>
        <w:rPr>
          <w:rFonts w:ascii="Microsoft YaHei" w:hAnsi="Microsoft YaHei" w:eastAsia="Microsoft YaHei"/>
          <w:b/>
          <w:sz w:val="19"/>
        </w:rPr>
        <w:t>关键词：ocean biogeochemistry</w:t>
      </w:r>
    </w:p>
    <w:p>
      <w:r>
        <w:rPr>
          <w:rFonts w:ascii="Microsoft YaHei" w:hAnsi="Microsoft YaHei" w:eastAsia="Microsoft YaHei"/>
          <w:sz w:val="17"/>
        </w:rPr>
        <w:t>摘要：气候保护区（不受环境变化影响的区域）对于海洋保护和渔业管理越来越重要，但确定其位置和范围仍然具有挑战性。我们开发了一个框架，使用已建立的生态和生理概念来描述温度引起的压力，以绘制潜在的热避难所——预计对热压力有弹性的区域。我们的框架使用三种互补的方法来分析每日温度记录并量化各个站点的相对热应力。我们将其应用于南加州大型海洋生态区下加利福尼亚州（墨西哥）海岸线 1200 公里的经济上重要的绿色鲍鱼（Haliotis fulgens）。 利用沿海岸线间隔 1 公里的 1186 个站点的卫星海面温度数据，通过现场验证转换为底层水温，我们计算出相对热应力，基于：（1）短期温度变化，因为快速变化带来的压力可能超出适应能力； (2) 暴露在极端热环境下，因为长时间暴露在高温下会产生热应力； (3)长期温度偏差，因为极冷和极热的条件可能不利于生物体的表现。每种方法都揭示了不同的空间模式，各个海湾（500 公里）的相对应力差异很大。尽管存在差异，但 18% 的海岸线（1186 个地点中的 213 个）在所有三个定义中都表现出始终较低的相对应力，集中在北纬 28° 以北。 另外 28% 的人符合两个定义的低压力标准，跨越 28° N-32°。 5° N。为了评估稳健性，我们使用了纳蒂维达岛 18 年的每单位努力量渔业数据。暴露于极端温度（压力定义 2）最能解释鲍鱼捕捞模式，占方差的 61%。结果表明，保护区的识别关键取决于如何定义热应力，但多个定义的共识领域提供了一个通用框架，用于在海洋变化加速的时代确定气候适应型海洋管理的稳健目标。</w:t>
      </w:r>
    </w:p>
    <w:p>
      <w:r>
        <w:rPr>
          <w:rFonts w:ascii="Microsoft YaHei" w:hAnsi="Microsoft YaHei" w:eastAsia="Microsoft YaHei"/>
          <w:color w:val="0563C1"/>
          <w:sz w:val="18"/>
        </w:rPr>
        <w:t>链接：https://doi.org/10.1111/gcb.71091</w:t>
      </w:r>
    </w:p>
    <w:p>
      <w:pPr>
        <w:pStyle w:val="Heading3"/>
      </w:pPr>
      <w:r>
        <w:rPr>
          <w:rFonts w:ascii="Microsoft YaHei" w:hAnsi="Microsoft YaHei" w:eastAsia="Microsoft YaHei"/>
          <w:b/>
        </w:rPr>
        <w:t>2. Radiocarbon and Stable Carbon Isotopes Constrain Rapid Mixing and Deep Meltwater Influence on Dissolved Inorganic Carbon in an Arctic Fjord</w:t>
      </w:r>
    </w:p>
    <w:p>
      <w:r>
        <w:rPr>
          <w:rFonts w:ascii="Microsoft YaHei" w:hAnsi="Microsoft YaHei" w:eastAsia="Microsoft YaHei"/>
          <w:color w:val="55697D"/>
          <w:sz w:val="18"/>
        </w:rPr>
        <w:t>作者：Ling Fang; Sunmin Oh; Agneta Fransson; Melissa Chierici; Jeomshik Hwang; Eun Jin Yang; Minkyoung Kim</w:t>
      </w:r>
    </w:p>
    <w:p>
      <w:r>
        <w:rPr>
          <w:rFonts w:ascii="Microsoft YaHei" w:hAnsi="Microsoft YaHei" w:eastAsia="Microsoft YaHei"/>
          <w:color w:val="55697D"/>
          <w:sz w:val="18"/>
        </w:rPr>
        <w:t>期刊：Journal of Geophysical Research: Oceans</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DOI：10.1029/2026jc024298</w:t>
      </w:r>
    </w:p>
    <w:p>
      <w:r>
        <w:rPr>
          <w:rFonts w:ascii="Microsoft YaHei" w:hAnsi="Microsoft YaHei" w:eastAsia="Microsoft YaHei"/>
          <w:b/>
          <w:sz w:val="19"/>
        </w:rPr>
        <w:t>关键词：vertical structure</w:t>
      </w:r>
    </w:p>
    <w:p>
      <w:r>
        <w:rPr>
          <w:rFonts w:ascii="Microsoft YaHei" w:hAnsi="Microsoft YaHei" w:eastAsia="Microsoft YaHei"/>
          <w:sz w:val="17"/>
        </w:rPr>
        <w:t>摘要：北极冰川淡水排放量的增加改变了沿海峡湾的碳酸盐化学成分。我们研究了斯瓦尔巴群岛 Kongsfjorden 溶解无机碳 (DIC) 的碳同位素组成（Δ 14 C 和 δ 13 C），以评估淡水输入和水质量交换如何塑造峡湾碳动力学。 DIC 浓度与盐度和 Δ 14 C 值呈正相关，这与老化碳源相关的淡水输入稀释一致。所有站点的表层 (+14 ± 3‰) 和深水 (+17 ± 2‰) 平均 Δ 14 C-DIC 值之间没有观察到显着差异，表明存在快速垂直混合。虽然初级生产和有机质再矿化可以改变 DIC 浓度及其同位素组成，但其在 6 月份采样期间的影响仅占 DIC 池总量的不到 3%。 碳同位素的小垂直梯度也与深水混合一致，可能与冰下排放驱动的循环有关，这部分抵消了 DIC 的表面稀释。这些观察结果凸显了快速混合在调节北极峡湾 DIC 动力学和同位素分布方面的主导作用。</w:t>
      </w:r>
    </w:p>
    <w:p>
      <w:r>
        <w:rPr>
          <w:rFonts w:ascii="Microsoft YaHei" w:hAnsi="Microsoft YaHei" w:eastAsia="Microsoft YaHei"/>
          <w:color w:val="0563C1"/>
          <w:sz w:val="18"/>
        </w:rPr>
        <w:t>链接：https://doi.org/10.1029/2026jc024298</w:t>
      </w:r>
    </w:p>
    <w:p>
      <w:pPr>
        <w:pStyle w:val="Heading2"/>
      </w:pPr>
      <w:r>
        <w:t>重点关注团队</w:t>
      </w:r>
    </w:p>
    <w:p>
      <w:pPr>
        <w:pStyle w:val="Heading3"/>
      </w:pPr>
      <w:r>
        <w:rPr>
          <w:rFonts w:ascii="Microsoft YaHei" w:hAnsi="Microsoft YaHei" w:eastAsia="Microsoft YaHei"/>
          <w:b/>
        </w:rPr>
        <w:t>3. Comparative assessment of phytoremediation using Eichhornia crassipes, Pistia stratiotes, and Ipomoea aquatica floating beds for phytoplankton community restoration and microcystin-LR removal in eutrophic pond water</w:t>
      </w:r>
    </w:p>
    <w:p>
      <w:r>
        <w:rPr>
          <w:rFonts w:ascii="Microsoft YaHei" w:hAnsi="Microsoft YaHei" w:eastAsia="Microsoft YaHei"/>
          <w:color w:val="55697D"/>
          <w:sz w:val="18"/>
        </w:rPr>
        <w:t>作者：Shuwen Zhang; Guiyu Chen; Jing Dong; Yuanyuan Tang; Yuanpu Sha; Longjie Li; Xuejun Li; Xiaofei Gao; et al.</w:t>
      </w:r>
    </w:p>
    <w:p>
      <w:r>
        <w:rPr>
          <w:rFonts w:ascii="Microsoft YaHei" w:hAnsi="Microsoft YaHei" w:eastAsia="Microsoft YaHei"/>
          <w:color w:val="55697D"/>
          <w:sz w:val="18"/>
        </w:rPr>
        <w:t>期刊：World Journal of Microbiology and Biotechnology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DOI：10.1007/s11274-026-05250-z</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链接：https://doi.org/10.1007/s11274-026-05250-z</w:t>
      </w:r>
    </w:p>
    <w:p>
      <w:pPr>
        <w:pStyle w:val="Heading3"/>
      </w:pPr>
      <w:r>
        <w:rPr>
          <w:rFonts w:ascii="Microsoft YaHei" w:hAnsi="Microsoft YaHei" w:eastAsia="Microsoft YaHei"/>
          <w:b/>
        </w:rPr>
        <w:t>4. Cross-Estuary Generalization of Color Front Identification Using DenseNet-121</w:t>
      </w:r>
    </w:p>
    <w:p>
      <w:r>
        <w:rPr>
          <w:rFonts w:ascii="Microsoft YaHei" w:hAnsi="Microsoft YaHei" w:eastAsia="Microsoft YaHei"/>
          <w:color w:val="55697D"/>
          <w:sz w:val="18"/>
        </w:rPr>
        <w:t>作者：Yumeng Tian; Luanbin Yin; Wenzhou Wu; Peng Zhang; Huiping Jiang</w:t>
      </w:r>
    </w:p>
    <w:p>
      <w:r>
        <w:rPr>
          <w:rFonts w:ascii="Microsoft YaHei" w:hAnsi="Microsoft YaHei" w:eastAsia="Microsoft YaHei"/>
          <w:color w:val="55697D"/>
          <w:sz w:val="18"/>
        </w:rPr>
        <w:t>期刊：Journal of Marine Science and Engineering</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DOI：10.3390/jmse14171657</w:t>
      </w:r>
    </w:p>
    <w:p>
      <w:r>
        <w:rPr>
          <w:rFonts w:ascii="Microsoft YaHei" w:hAnsi="Microsoft YaHei" w:eastAsia="Microsoft YaHei"/>
          <w:b/>
          <w:sz w:val="19"/>
        </w:rPr>
        <w:t>关键词：ocean colour; bio-optics</w:t>
      </w:r>
    </w:p>
    <w:p>
      <w:r>
        <w:rPr>
          <w:rFonts w:ascii="Microsoft YaHei" w:hAnsi="Microsoft YaHei" w:eastAsia="Microsoft YaHei"/>
          <w:sz w:val="17"/>
        </w:rPr>
        <w:t>摘要：色锋的远程识别（定义为水光学特性具有急剧梯度的过渡区域）受到不可转移阈值、严重的区域过度检测和跨河口泛化能力弱的影响。为了解决这些问题，我们提出了一个将多尺度光谱空间特征与 DenseNet-121 集成的框架。我们构建了一个 165 维向量、七个窗口尺度（3 × 3 到 15 × 15）× 两个统计描述符（均值和标准差）× 11 个波段 + 11 个波段，然后将其重新排列为 3D 张量，并将其大小调整为 2D 图像，用于带有红波段后处理的 DenseNet-121 迁移学习。在分布内测试中，该模型达到了 0. 953 的准确率，0. 953 F1，优于随机森林。跨河口泛化产生平均 F1 (0. 744)。 性能因光学兼容性而异：密西西比河（径流主导）提供最佳 F1 (0. 874)，而珍珠河（多通道、径流潮汐共同控制）由于异质性和反向反射模式而下降至 0. 607。红波段约束有助于减少区域误报并提高额叶区域的空间相干性，但其有效性取决于光学可分离性。输出宽度反映了过渡区域和窗口比例的叠加。我们展示了这种跨河口颜色前沿识别方法的潜力和边界条件，为物理一致和可推广的海洋颜色监测提供了见解。</w:t>
      </w:r>
    </w:p>
    <w:p>
      <w:r>
        <w:rPr>
          <w:rFonts w:ascii="Microsoft YaHei" w:hAnsi="Microsoft YaHei" w:eastAsia="Microsoft YaHei"/>
          <w:color w:val="0563C1"/>
          <w:sz w:val="18"/>
        </w:rPr>
        <w:t>链接：https://doi.org/10.3390/jmse14171657</w:t>
      </w:r>
    </w:p>
    <w:p>
      <w:pPr>
        <w:pStyle w:val="Heading2"/>
      </w:pPr>
      <w:r>
        <w:t>其他相关期刊：按主题相关性补充</w:t>
      </w:r>
    </w:p>
    <w:p>
      <w:pPr>
        <w:pStyle w:val="Heading3"/>
      </w:pPr>
      <w:r>
        <w:rPr>
          <w:rFonts w:ascii="Microsoft YaHei" w:hAnsi="Microsoft YaHei" w:eastAsia="Microsoft YaHei"/>
          <w:b/>
        </w:rPr>
        <w:t>5. A Sensitivity Analysis of Flick‐AccuRT, a Coupled Ocean‐Atmosphere Radiative Transfer Model and Input Module</w:t>
      </w:r>
    </w:p>
    <w:p>
      <w:r>
        <w:rPr>
          <w:rFonts w:ascii="Microsoft YaHei" w:hAnsi="Microsoft YaHei" w:eastAsia="Microsoft YaHei"/>
          <w:color w:val="55697D"/>
          <w:sz w:val="18"/>
        </w:rPr>
        <w:t>作者：Shea Cheatham; Daniel Koestner; Børge Hamre</w:t>
      </w:r>
    </w:p>
    <w:p>
      <w:r>
        <w:rPr>
          <w:rFonts w:ascii="Microsoft YaHei" w:hAnsi="Microsoft YaHei" w:eastAsia="Microsoft YaHei"/>
          <w:color w:val="55697D"/>
          <w:sz w:val="18"/>
        </w:rPr>
        <w:t>期刊：Earth and Space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DOI：10.1029/2026ea005030</w:t>
      </w:r>
    </w:p>
    <w:p>
      <w:r>
        <w:rPr>
          <w:rFonts w:ascii="Microsoft YaHei" w:hAnsi="Microsoft YaHei" w:eastAsia="Microsoft YaHei"/>
          <w:b/>
          <w:sz w:val="19"/>
        </w:rPr>
        <w:t>关键词：phytoplankton; ocean colour; ocean optics; backscattering; bio-optics</w:t>
      </w:r>
    </w:p>
    <w:p>
      <w:r>
        <w:rPr>
          <w:rFonts w:ascii="Microsoft YaHei" w:hAnsi="Microsoft YaHei" w:eastAsia="Microsoft YaHei"/>
          <w:sz w:val="17"/>
        </w:rPr>
        <w:t>摘要：辐射传输（RT）模型通常分别求解大气或海洋中的辐射传输方程，限制了大气-海洋界面的精度。在这里，我们采用耦合标量离散坐标 RT 模型来检查海洋成分测量的固有光学特性 (IOP)（包括体积散射函数 (VSF)）的输入方法，并通过勒让德多项式展开评估 VSF 近似对模型计算精度的影响。进行进一步的灵敏度分析，以确定离散坐标 RT 模型的有效内部参数选择，包括精确辐射输出所需的流数量。 我们还研究了大气-海洋界面的耦合效应，表明太阳天顶角和云量引起的遥感反射率变化也取决于水柱的IOP；也就是说，水的成分组成影响进入海洋的辐射的角度和光谱分布。辐射量对大气条件的这种可变响应取决于水柱成分，这对于检索生物地球化学变量（例如叶绿素a）的算法具有影响。最后，根据辐射测量对耦合模型输出进行验证，证明了海洋颜色科学应用的准确性和计算效率，在将卫星测量和现场测量与模拟进行比较时，其相对均方根误差主要落在 10% 以内。</w:t>
      </w:r>
    </w:p>
    <w:p>
      <w:r>
        <w:rPr>
          <w:rFonts w:ascii="Microsoft YaHei" w:hAnsi="Microsoft YaHei" w:eastAsia="Microsoft YaHei"/>
          <w:color w:val="0563C1"/>
          <w:sz w:val="18"/>
        </w:rPr>
        <w:t>链接：https://doi.org/10.1029/2026ea005030</w:t>
      </w:r>
    </w:p>
    <w:p>
      <w:pPr>
        <w:pStyle w:val="Heading3"/>
      </w:pPr>
      <w:r>
        <w:rPr>
          <w:rFonts w:ascii="Microsoft YaHei" w:hAnsi="Microsoft YaHei" w:eastAsia="Microsoft YaHei"/>
          <w:b/>
        </w:rPr>
        <w:t>6. Induced Dysbiosis Modifies Physiological Responses to Warming in a Temperate Sponge</w:t>
      </w:r>
    </w:p>
    <w:p>
      <w:r>
        <w:rPr>
          <w:rFonts w:ascii="Microsoft YaHei" w:hAnsi="Microsoft YaHei" w:eastAsia="Microsoft YaHei"/>
          <w:color w:val="55697D"/>
          <w:sz w:val="18"/>
        </w:rPr>
        <w:t>作者：Manon Broadribb; Torsten Thomas; Alice Rogers; James J. Bell</w:t>
      </w:r>
    </w:p>
    <w:p>
      <w:r>
        <w:rPr>
          <w:rFonts w:ascii="Microsoft YaHei" w:hAnsi="Microsoft YaHei" w:eastAsia="Microsoft YaHei"/>
          <w:color w:val="55697D"/>
          <w:sz w:val="18"/>
        </w:rPr>
        <w:t>期刊：Environmental Microbiology</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DOI：10.1111/1462-2920.70402</w:t>
      </w:r>
    </w:p>
    <w:p>
      <w:r>
        <w:rPr>
          <w:rFonts w:ascii="Microsoft YaHei" w:hAnsi="Microsoft YaHei" w:eastAsia="Microsoft YaHei"/>
          <w:b/>
          <w:sz w:val="19"/>
        </w:rPr>
        <w:t>关键词：marine heatwaves; microbial carbon</w:t>
      </w:r>
    </w:p>
    <w:p>
      <w:r>
        <w:rPr>
          <w:rFonts w:ascii="Microsoft YaHei" w:hAnsi="Microsoft YaHei" w:eastAsia="Microsoft YaHei"/>
          <w:sz w:val="17"/>
        </w:rPr>
        <w:t>摘要：海洋海绵拥有复杂且特定的微生物组，但这些微生物共生体在海绵对急性环境压力的反应中的作用尚未完全了解。我们研究了在模拟海洋热浪 (MHW) 条件下改变微生物组如何影响温带钙质海绵 Rowella lancifera 对温度的生理反应。海绵经过广谱抗生素处理以破坏其微生物组，然后暴露于亚致死的 MHW 温度下。使用 16S rRNA 基因测序分析微生物群落组成，包括评估多样性和差异丰度，同时通过呼吸速率量化海绵对温度的生理反应。抗生素治疗显着改变了微生物群落结构，但并未独立诱导生理反应。 热暴露增加了呼吸速率，在微生物组改变的海绵中观察到更强的反应。多变量分析揭示了微生物群落结构与呼吸速率之间的关系，表明微生物组组成与宿主生理反应之间存在关联。总的来说，这些发现表明海绵-微生物共生可能在调节对温度升高的生理反应中发挥作用。随着 MHW 在气候变化下变得更加频繁和严重，了解海绵与微生物的伙伴关系对于预测海绵的反应和底栖生态系统的稳定性非常重要。</w:t>
      </w:r>
    </w:p>
    <w:p>
      <w:r>
        <w:rPr>
          <w:rFonts w:ascii="Microsoft YaHei" w:hAnsi="Microsoft YaHei" w:eastAsia="Microsoft YaHei"/>
          <w:color w:val="0563C1"/>
          <w:sz w:val="18"/>
        </w:rPr>
        <w:t>链接：https://doi.org/10.1111/1462-2920.70402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