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60DD" w:rsidRDefault="00BD2BEF">
      <w:pPr>
        <w:jc w:val="center"/>
      </w:pPr>
      <w:r>
        <w:rPr>
          <w:b/>
          <w:color w:val="17324D"/>
          <w:sz w:val="44"/>
        </w:rPr>
        <w:t>每日新论文推送</w:t>
      </w:r>
    </w:p>
    <w:p w:rsidR="007760DD" w:rsidRDefault="00BD2BEF">
      <w:pPr>
        <w:jc w:val="center"/>
      </w:pPr>
      <w:r>
        <w:rPr>
          <w:color w:val="55697D"/>
          <w:sz w:val="19"/>
        </w:rPr>
        <w:t>检索日期：</w:t>
      </w:r>
      <w:r>
        <w:rPr>
          <w:color w:val="55697D"/>
          <w:sz w:val="19"/>
        </w:rPr>
        <w:t xml:space="preserve">2026-05-27 </w:t>
      </w:r>
      <w:r>
        <w:rPr>
          <w:color w:val="55697D"/>
          <w:sz w:val="19"/>
        </w:rPr>
        <w:t>｜</w:t>
      </w:r>
      <w:r>
        <w:rPr>
          <w:color w:val="55697D"/>
          <w:sz w:val="19"/>
        </w:rPr>
        <w:t xml:space="preserve"> </w:t>
      </w:r>
      <w:r>
        <w:rPr>
          <w:color w:val="55697D"/>
          <w:sz w:val="19"/>
        </w:rPr>
        <w:t>主题：</w:t>
      </w:r>
      <w:r>
        <w:rPr>
          <w:color w:val="55697D"/>
          <w:sz w:val="19"/>
        </w:rPr>
        <w:t>BGC-Argo / carbon pump / phytoplankton / ocean colour / marine heatwaves</w:t>
      </w:r>
    </w:p>
    <w:p w:rsidR="007760DD" w:rsidRDefault="00BD2BEF">
      <w:pPr>
        <w:pStyle w:val="1"/>
      </w:pPr>
      <w:r>
        <w:t>今日总览</w:t>
      </w:r>
    </w:p>
    <w:p w:rsidR="007760DD" w:rsidRDefault="00BD2BEF">
      <w:r>
        <w:t>今天示例版共筛出</w:t>
      </w:r>
      <w:r>
        <w:t xml:space="preserve"> 13 </w:t>
      </w:r>
      <w:r>
        <w:t>篇高相关论文。整体趋势很清楚：</w:t>
      </w:r>
      <w:r>
        <w:t xml:space="preserve">BGC-Argo </w:t>
      </w:r>
      <w:r>
        <w:t>正在从垂向剖面观测走向过程诊断；</w:t>
      </w:r>
      <w:r>
        <w:t xml:space="preserve">ocean colour </w:t>
      </w:r>
      <w:r>
        <w:t>研究正在从表层二维趋势走向三维重建；</w:t>
      </w:r>
      <w:r>
        <w:t xml:space="preserve">marine heatwaves </w:t>
      </w:r>
      <w:r>
        <w:t>的影响越来越强调亚表层、</w:t>
      </w:r>
      <w:r>
        <w:t>DCM</w:t>
      </w:r>
      <w:r>
        <w:t>、</w:t>
      </w:r>
      <w:r>
        <w:t xml:space="preserve">POC </w:t>
      </w:r>
      <w:r>
        <w:t>转化和再矿化，而不只是表层</w:t>
      </w:r>
      <w:r>
        <w:t xml:space="preserve"> Chl-a </w:t>
      </w:r>
      <w:r>
        <w:t>异常。排序规则：</w:t>
      </w:r>
      <w:r>
        <w:t xml:space="preserve">Nature </w:t>
      </w:r>
      <w:r>
        <w:t>系列优先，其次</w:t>
      </w:r>
      <w:r>
        <w:t xml:space="preserve"> Science </w:t>
      </w:r>
      <w:r>
        <w:t>系列，再按与研究主题相关性和期刊影响力排列。</w:t>
      </w:r>
    </w:p>
    <w:p w:rsidR="007760DD" w:rsidRDefault="00BD2BEF">
      <w:r>
        <w:rPr>
          <w:noProof/>
        </w:rPr>
        <w:drawing>
          <wp:inline distT="0" distB="0" distL="0" distR="0">
            <wp:extent cx="5852160" cy="33162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机制示意图_2026-05-2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0DD" w:rsidRDefault="00BD2BEF">
      <w:pPr>
        <w:jc w:val="center"/>
        <w:rPr>
          <w:lang w:eastAsia="zh-CN"/>
        </w:rPr>
      </w:pPr>
      <w:r>
        <w:rPr>
          <w:color w:val="55697D"/>
          <w:sz w:val="18"/>
          <w:lang w:eastAsia="zh-CN"/>
        </w:rPr>
        <w:t>图</w:t>
      </w:r>
      <w:r>
        <w:rPr>
          <w:color w:val="55697D"/>
          <w:sz w:val="18"/>
          <w:lang w:eastAsia="zh-CN"/>
        </w:rPr>
        <w:t xml:space="preserve"> 1. </w:t>
      </w:r>
      <w:r>
        <w:rPr>
          <w:color w:val="55697D"/>
          <w:sz w:val="18"/>
          <w:lang w:eastAsia="zh-CN"/>
        </w:rPr>
        <w:t>自绘机制示意图：把海色表层观测、</w:t>
      </w:r>
      <w:r>
        <w:rPr>
          <w:color w:val="55697D"/>
          <w:sz w:val="18"/>
          <w:lang w:eastAsia="zh-CN"/>
        </w:rPr>
        <w:t xml:space="preserve">BGC-Argo </w:t>
      </w:r>
      <w:r>
        <w:rPr>
          <w:color w:val="55697D"/>
          <w:sz w:val="18"/>
          <w:lang w:eastAsia="zh-CN"/>
        </w:rPr>
        <w:t>垂向剖面、热浪扰动和碳泵路径放在同一框架里。</w:t>
      </w:r>
    </w:p>
    <w:p w:rsidR="007760DD" w:rsidRDefault="00BD2BEF">
      <w:pPr>
        <w:pStyle w:val="1"/>
      </w:pPr>
      <w:r>
        <w:t>论文速读</w:t>
      </w:r>
    </w:p>
    <w:p w:rsidR="007760DD" w:rsidRDefault="00BD2BEF">
      <w:pPr>
        <w:pStyle w:val="21"/>
      </w:pPr>
      <w:r>
        <w:t xml:space="preserve">Nature </w:t>
      </w:r>
      <w:r>
        <w:t>系列</w:t>
      </w:r>
    </w:p>
    <w:p w:rsidR="007760DD" w:rsidRDefault="00BD2BEF">
      <w:pPr>
        <w:pStyle w:val="31"/>
      </w:pPr>
      <w:r>
        <w:rPr>
          <w:rFonts w:ascii="微软雅黑" w:eastAsia="微软雅黑" w:hAnsi="微软雅黑"/>
        </w:rPr>
        <w:t>1. Biochemical remodelling of phytoplankton cell composition under climate change</w:t>
      </w:r>
    </w:p>
    <w:p w:rsidR="007760DD" w:rsidRDefault="00BD2BEF">
      <w:pPr>
        <w:spacing w:after="40"/>
      </w:pPr>
      <w:r>
        <w:rPr>
          <w:color w:val="55697D"/>
          <w:sz w:val="18"/>
        </w:rPr>
        <w:t xml:space="preserve">Sharoni, S.; Inomura, K.; Dutkiewicz, S.; et al.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Nature Climate Change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2026-03-31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DOI: 10.1038/s41558-026-02598-w</w:t>
      </w:r>
    </w:p>
    <w:p w:rsidR="007760DD" w:rsidRDefault="00BD2BEF">
      <w:pPr>
        <w:rPr>
          <w:lang w:eastAsia="zh-CN"/>
        </w:rPr>
      </w:pPr>
      <w:r>
        <w:rPr>
          <w:b/>
          <w:sz w:val="19"/>
          <w:lang w:eastAsia="zh-CN"/>
        </w:rPr>
        <w:t>关键词：</w:t>
      </w:r>
      <w:r>
        <w:rPr>
          <w:b/>
          <w:sz w:val="19"/>
          <w:lang w:eastAsia="zh-CN"/>
        </w:rPr>
        <w:t xml:space="preserve">phytoplankton; carbon pump; ocean colour </w:t>
      </w:r>
      <w:r>
        <w:rPr>
          <w:b/>
          <w:sz w:val="19"/>
          <w:lang w:eastAsia="zh-CN"/>
        </w:rPr>
        <w:t>背景。</w:t>
      </w:r>
    </w:p>
    <w:p w:rsidR="007760DD" w:rsidRDefault="00BD2BEF">
      <w:pPr>
        <w:rPr>
          <w:lang w:eastAsia="zh-CN"/>
        </w:rPr>
      </w:pPr>
      <w:r>
        <w:rPr>
          <w:lang w:eastAsia="zh-CN"/>
        </w:rPr>
        <w:lastRenderedPageBreak/>
        <w:t>这篇文章用细胞资源分配模型研究气候变暖下浮游植物蛋白质、糖类和脂类的重分配。结论是：高纬和极区未来蛋白质比例下降、糖脂比例上升，低纬贫营养区则因亚表层群落增强而可能出现蛋白配置上升。它和</w:t>
      </w:r>
      <w:r>
        <w:rPr>
          <w:lang w:eastAsia="zh-CN"/>
        </w:rPr>
        <w:t xml:space="preserve"> carbon pump </w:t>
      </w:r>
      <w:r>
        <w:rPr>
          <w:lang w:eastAsia="zh-CN"/>
        </w:rPr>
        <w:t>的关系在于：新生产有机质的</w:t>
      </w:r>
      <w:r>
        <w:rPr>
          <w:lang w:eastAsia="zh-CN"/>
        </w:rPr>
        <w:t xml:space="preserve"> C:N</w:t>
      </w:r>
      <w:r>
        <w:rPr>
          <w:lang w:eastAsia="zh-CN"/>
        </w:rPr>
        <w:t>、</w:t>
      </w:r>
      <w:r>
        <w:rPr>
          <w:lang w:eastAsia="zh-CN"/>
        </w:rPr>
        <w:t xml:space="preserve">C:P </w:t>
      </w:r>
      <w:r>
        <w:rPr>
          <w:lang w:eastAsia="zh-CN"/>
        </w:rPr>
        <w:t>和营养质量会变，这</w:t>
      </w:r>
      <w:r>
        <w:rPr>
          <w:lang w:eastAsia="zh-CN"/>
        </w:rPr>
        <w:t>会影响食物网传递效率，也会改变固定化学计量假设下的碳输出估算。</w:t>
      </w:r>
    </w:p>
    <w:p w:rsidR="007760DD" w:rsidRDefault="00BD2BEF">
      <w:r>
        <w:t>链接：</w:t>
      </w:r>
      <w:hyperlink r:id="rId7">
        <w:r>
          <w:rPr>
            <w:color w:val="0563C1"/>
            <w:u w:val="single"/>
          </w:rPr>
          <w:t>https://www.nature.com/articles/s41558-026-02598-w</w:t>
        </w:r>
      </w:hyperlink>
    </w:p>
    <w:p w:rsidR="007760DD" w:rsidRDefault="00BD2BEF">
      <w:pPr>
        <w:pStyle w:val="31"/>
      </w:pPr>
      <w:r>
        <w:rPr>
          <w:rFonts w:ascii="微软雅黑" w:eastAsia="微软雅黑" w:hAnsi="微软雅黑"/>
        </w:rPr>
        <w:t>2. BGC-Argo float reveals shifts in nitrogen-carbon cycling in an oxygen-deficient zone</w:t>
      </w:r>
    </w:p>
    <w:p w:rsidR="007760DD" w:rsidRDefault="00BD2BEF">
      <w:pPr>
        <w:spacing w:after="40"/>
      </w:pPr>
      <w:r>
        <w:rPr>
          <w:color w:val="55697D"/>
          <w:sz w:val="18"/>
        </w:rPr>
        <w:t xml:space="preserve">Bif, M. B.; </w:t>
      </w:r>
      <w:r>
        <w:rPr>
          <w:color w:val="55697D"/>
          <w:sz w:val="18"/>
        </w:rPr>
        <w:t xml:space="preserve">Kelly, C.; Altabet, M. A.; et al.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Communications Earth &amp; Environment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2026-04-06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DOI: 10.1038/s43247-026-03410-5</w:t>
      </w:r>
    </w:p>
    <w:p w:rsidR="007760DD" w:rsidRDefault="00BD2BEF">
      <w:r>
        <w:rPr>
          <w:b/>
          <w:sz w:val="19"/>
        </w:rPr>
        <w:t>关键词：</w:t>
      </w:r>
      <w:r>
        <w:rPr>
          <w:b/>
          <w:sz w:val="19"/>
        </w:rPr>
        <w:t>BGC-Argo; microbial/nitrogen-carbon cycling; ODZ</w:t>
      </w:r>
      <w:r>
        <w:rPr>
          <w:b/>
          <w:sz w:val="19"/>
        </w:rPr>
        <w:t>。</w:t>
      </w:r>
    </w:p>
    <w:p w:rsidR="007760DD" w:rsidRDefault="00BD2BEF">
      <w:pPr>
        <w:rPr>
          <w:lang w:eastAsia="zh-CN"/>
        </w:rPr>
      </w:pPr>
      <w:r>
        <w:t>这篇用一支</w:t>
      </w:r>
      <w:r>
        <w:t xml:space="preserve"> BGC-Argo </w:t>
      </w:r>
      <w:r>
        <w:t>浮标在东热带北太平洋低氧区做近三年高垂向分辨率观测，把氧、硝酸盐、亚硝酸盐、</w:t>
      </w:r>
      <w:r>
        <w:t>pH</w:t>
      </w:r>
      <w:r>
        <w:t>、叶绿素和</w:t>
      </w:r>
      <w:r>
        <w:t xml:space="preserve"> POC </w:t>
      </w:r>
      <w:r>
        <w:t>串起来看。</w:t>
      </w:r>
      <w:r>
        <w:rPr>
          <w:lang w:eastAsia="zh-CN"/>
        </w:rPr>
        <w:t>核心结论是：次表层亚硝酸盐峰</w:t>
      </w:r>
      <w:r>
        <w:rPr>
          <w:lang w:eastAsia="zh-CN"/>
        </w:rPr>
        <w:t>和</w:t>
      </w:r>
      <w:r>
        <w:rPr>
          <w:lang w:eastAsia="zh-CN"/>
        </w:rPr>
        <w:t xml:space="preserve"> POC </w:t>
      </w:r>
      <w:r>
        <w:rPr>
          <w:lang w:eastAsia="zh-CN"/>
        </w:rPr>
        <w:t>脉冲能揭示氮氧化还原过程与碳循环的耦合，说明</w:t>
      </w:r>
      <w:r>
        <w:rPr>
          <w:lang w:eastAsia="zh-CN"/>
        </w:rPr>
        <w:t xml:space="preserve"> BGC-Argo </w:t>
      </w:r>
      <w:r>
        <w:rPr>
          <w:lang w:eastAsia="zh-CN"/>
        </w:rPr>
        <w:t>已经能从</w:t>
      </w:r>
      <w:r>
        <w:rPr>
          <w:lang w:eastAsia="zh-CN"/>
        </w:rPr>
        <w:t>“</w:t>
      </w:r>
      <w:r>
        <w:rPr>
          <w:lang w:eastAsia="zh-CN"/>
        </w:rPr>
        <w:t>生物量代理</w:t>
      </w:r>
      <w:r>
        <w:rPr>
          <w:lang w:eastAsia="zh-CN"/>
        </w:rPr>
        <w:t>”</w:t>
      </w:r>
      <w:r>
        <w:rPr>
          <w:lang w:eastAsia="zh-CN"/>
        </w:rPr>
        <w:t>推进到微生物过程诊断。</w:t>
      </w:r>
    </w:p>
    <w:p w:rsidR="007760DD" w:rsidRDefault="00BD2BEF">
      <w:r>
        <w:t>链接：</w:t>
      </w:r>
      <w:hyperlink r:id="rId8">
        <w:r>
          <w:rPr>
            <w:color w:val="0563C1"/>
            <w:u w:val="single"/>
          </w:rPr>
          <w:t>https://www.nature.com/articles/s43247-026-03410-5</w:t>
        </w:r>
      </w:hyperlink>
    </w:p>
    <w:p w:rsidR="007760DD" w:rsidRPr="00BD2BEF" w:rsidRDefault="00BD2BEF">
      <w:pPr>
        <w:pStyle w:val="31"/>
        <w:rPr>
          <w:highlight w:val="yellow"/>
        </w:rPr>
      </w:pPr>
      <w:r w:rsidRPr="00BD2BEF">
        <w:rPr>
          <w:rFonts w:ascii="微软雅黑" w:eastAsia="微软雅黑" w:hAnsi="微软雅黑"/>
          <w:highlight w:val="yellow"/>
        </w:rPr>
        <w:t>3. Global declines in net primary production in the ocean color era</w:t>
      </w:r>
    </w:p>
    <w:p w:rsidR="007760DD" w:rsidRPr="00BD2BEF" w:rsidRDefault="00BD2BEF">
      <w:pPr>
        <w:spacing w:after="40"/>
        <w:rPr>
          <w:highlight w:val="yellow"/>
        </w:rPr>
      </w:pPr>
      <w:r w:rsidRPr="00BD2BEF">
        <w:rPr>
          <w:color w:val="55697D"/>
          <w:sz w:val="18"/>
          <w:highlight w:val="yellow"/>
        </w:rPr>
        <w:t>Sil</w:t>
      </w:r>
      <w:r w:rsidRPr="00BD2BEF">
        <w:rPr>
          <w:color w:val="55697D"/>
          <w:sz w:val="18"/>
          <w:highlight w:val="yellow"/>
        </w:rPr>
        <w:t xml:space="preserve">sbe, G. M.; Fox, J.; Westberry, T. K.; et al. </w:t>
      </w:r>
      <w:r w:rsidRPr="00BD2BEF">
        <w:rPr>
          <w:color w:val="55697D"/>
          <w:sz w:val="18"/>
          <w:highlight w:val="yellow"/>
        </w:rPr>
        <w:t>｜</w:t>
      </w:r>
      <w:r w:rsidRPr="00BD2BEF">
        <w:rPr>
          <w:color w:val="55697D"/>
          <w:sz w:val="18"/>
          <w:highlight w:val="yellow"/>
        </w:rPr>
        <w:t xml:space="preserve"> Nature Communications </w:t>
      </w:r>
      <w:r w:rsidRPr="00BD2BEF">
        <w:rPr>
          <w:color w:val="55697D"/>
          <w:sz w:val="18"/>
          <w:highlight w:val="yellow"/>
        </w:rPr>
        <w:t>｜</w:t>
      </w:r>
      <w:r w:rsidRPr="00BD2BEF">
        <w:rPr>
          <w:color w:val="55697D"/>
          <w:sz w:val="18"/>
          <w:highlight w:val="yellow"/>
        </w:rPr>
        <w:t xml:space="preserve"> 2025-07-01 </w:t>
      </w:r>
      <w:r w:rsidRPr="00BD2BEF">
        <w:rPr>
          <w:color w:val="55697D"/>
          <w:sz w:val="18"/>
          <w:highlight w:val="yellow"/>
        </w:rPr>
        <w:t>｜</w:t>
      </w:r>
      <w:r w:rsidRPr="00BD2BEF">
        <w:rPr>
          <w:color w:val="55697D"/>
          <w:sz w:val="18"/>
          <w:highlight w:val="yellow"/>
        </w:rPr>
        <w:t xml:space="preserve"> DOI: 10.1038/s41467-025-60906-y</w:t>
      </w:r>
    </w:p>
    <w:p w:rsidR="007760DD" w:rsidRPr="00BD2BEF" w:rsidRDefault="00BD2BEF">
      <w:pPr>
        <w:rPr>
          <w:highlight w:val="yellow"/>
        </w:rPr>
      </w:pPr>
      <w:r w:rsidRPr="00BD2BEF">
        <w:rPr>
          <w:b/>
          <w:sz w:val="19"/>
          <w:highlight w:val="yellow"/>
        </w:rPr>
        <w:t>关键词：</w:t>
      </w:r>
      <w:r w:rsidRPr="00BD2BEF">
        <w:rPr>
          <w:b/>
          <w:sz w:val="19"/>
          <w:highlight w:val="yellow"/>
        </w:rPr>
        <w:t>Ocean col</w:t>
      </w:r>
      <w:bookmarkStart w:id="0" w:name="_GoBack"/>
      <w:bookmarkEnd w:id="0"/>
      <w:r w:rsidRPr="00BD2BEF">
        <w:rPr>
          <w:b/>
          <w:sz w:val="19"/>
          <w:highlight w:val="yellow"/>
        </w:rPr>
        <w:t>our; NPP; climate trend</w:t>
      </w:r>
      <w:r w:rsidRPr="00BD2BEF">
        <w:rPr>
          <w:b/>
          <w:sz w:val="19"/>
          <w:highlight w:val="yellow"/>
        </w:rPr>
        <w:t>。</w:t>
      </w:r>
    </w:p>
    <w:p w:rsidR="007760DD" w:rsidRDefault="00BD2BEF">
      <w:pPr>
        <w:rPr>
          <w:lang w:eastAsia="zh-CN"/>
        </w:rPr>
      </w:pPr>
      <w:r w:rsidRPr="00BD2BEF">
        <w:rPr>
          <w:highlight w:val="yellow"/>
        </w:rPr>
        <w:t>这篇用</w:t>
      </w:r>
      <w:r w:rsidRPr="00BD2BEF">
        <w:rPr>
          <w:highlight w:val="yellow"/>
        </w:rPr>
        <w:t xml:space="preserve"> SeaWiFS </w:t>
      </w:r>
      <w:r w:rsidRPr="00BD2BEF">
        <w:rPr>
          <w:highlight w:val="yellow"/>
        </w:rPr>
        <w:t>和</w:t>
      </w:r>
      <w:r w:rsidRPr="00BD2BEF">
        <w:rPr>
          <w:highlight w:val="yellow"/>
        </w:rPr>
        <w:t xml:space="preserve"> MODIS-Aqua </w:t>
      </w:r>
      <w:r w:rsidRPr="00BD2BEF">
        <w:rPr>
          <w:highlight w:val="yellow"/>
        </w:rPr>
        <w:t>的</w:t>
      </w:r>
      <w:r w:rsidRPr="00BD2BEF">
        <w:rPr>
          <w:highlight w:val="yellow"/>
        </w:rPr>
        <w:t xml:space="preserve"> 25 </w:t>
      </w:r>
      <w:r w:rsidRPr="00BD2BEF">
        <w:rPr>
          <w:highlight w:val="yellow"/>
        </w:rPr>
        <w:t>年海色记录重估全球</w:t>
      </w:r>
      <w:r w:rsidRPr="00BD2BEF">
        <w:rPr>
          <w:highlight w:val="yellow"/>
        </w:rPr>
        <w:t xml:space="preserve"> NPP </w:t>
      </w:r>
      <w:r w:rsidRPr="00BD2BEF">
        <w:rPr>
          <w:highlight w:val="yellow"/>
        </w:rPr>
        <w:t>趋势。结论是：近一半海域出现显著</w:t>
      </w:r>
      <w:r w:rsidRPr="00BD2BEF">
        <w:rPr>
          <w:highlight w:val="yellow"/>
        </w:rPr>
        <w:t xml:space="preserve"> NPP </w:t>
      </w:r>
      <w:r w:rsidRPr="00BD2BEF">
        <w:rPr>
          <w:highlight w:val="yellow"/>
        </w:rPr>
        <w:t>下降，主要集中在热带和副热带层化海区；机制指向营养盐限制增强。</w:t>
      </w:r>
      <w:r w:rsidRPr="00BD2BEF">
        <w:rPr>
          <w:highlight w:val="yellow"/>
          <w:lang w:eastAsia="zh-CN"/>
        </w:rPr>
        <w:t>对你的方向</w:t>
      </w:r>
      <w:r w:rsidRPr="00BD2BEF">
        <w:rPr>
          <w:highlight w:val="yellow"/>
          <w:lang w:eastAsia="zh-CN"/>
        </w:rPr>
        <w:t>很有用，因为它把海色观测、光吸收和营养限制联系到全球</w:t>
      </w:r>
      <w:r w:rsidRPr="00BD2BEF">
        <w:rPr>
          <w:highlight w:val="yellow"/>
          <w:lang w:eastAsia="zh-CN"/>
        </w:rPr>
        <w:t xml:space="preserve"> carbon pump </w:t>
      </w:r>
      <w:r w:rsidRPr="00BD2BEF">
        <w:rPr>
          <w:highlight w:val="yellow"/>
          <w:lang w:eastAsia="zh-CN"/>
        </w:rPr>
        <w:t>的底层生产端变化。</w:t>
      </w:r>
    </w:p>
    <w:p w:rsidR="007760DD" w:rsidRDefault="00BD2BEF">
      <w:r>
        <w:t>链接：</w:t>
      </w:r>
      <w:hyperlink r:id="rId9">
        <w:r>
          <w:rPr>
            <w:color w:val="0563C1"/>
            <w:u w:val="single"/>
          </w:rPr>
          <w:t>https://www.nature.com/articles/s41467-025-60906-y</w:t>
        </w:r>
      </w:hyperlink>
    </w:p>
    <w:p w:rsidR="007760DD" w:rsidRDefault="00BD2BEF">
      <w:pPr>
        <w:pStyle w:val="31"/>
      </w:pPr>
      <w:r>
        <w:rPr>
          <w:rFonts w:ascii="微软雅黑" w:eastAsia="微软雅黑" w:hAnsi="微软雅黑"/>
        </w:rPr>
        <w:t>4. Marine heatwaves modulate food webs and carbon transport processes</w:t>
      </w:r>
    </w:p>
    <w:p w:rsidR="007760DD" w:rsidRDefault="00BD2BEF">
      <w:pPr>
        <w:spacing w:after="40"/>
      </w:pPr>
      <w:r>
        <w:rPr>
          <w:color w:val="55697D"/>
          <w:sz w:val="18"/>
        </w:rPr>
        <w:t>Bif, M. B.; K</w:t>
      </w:r>
      <w:r>
        <w:rPr>
          <w:color w:val="55697D"/>
          <w:sz w:val="18"/>
        </w:rPr>
        <w:t xml:space="preserve">ellogg, C. T. E.; Huang, Y.; et al.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Nature Communications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2025-10-06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DOI: 10.1038/s41467-025-63605-w</w:t>
      </w:r>
    </w:p>
    <w:p w:rsidR="007760DD" w:rsidRDefault="00BD2BEF">
      <w:r>
        <w:rPr>
          <w:b/>
          <w:sz w:val="19"/>
        </w:rPr>
        <w:t>关键词：</w:t>
      </w:r>
      <w:r>
        <w:rPr>
          <w:b/>
          <w:sz w:val="19"/>
        </w:rPr>
        <w:t>BGC-Argo; marine heatwaves; microbial ecology; POC</w:t>
      </w:r>
      <w:r>
        <w:rPr>
          <w:b/>
          <w:sz w:val="19"/>
        </w:rPr>
        <w:t>。</w:t>
      </w:r>
    </w:p>
    <w:p w:rsidR="007760DD" w:rsidRDefault="00BD2BEF">
      <w:pPr>
        <w:rPr>
          <w:lang w:eastAsia="zh-CN"/>
        </w:rPr>
      </w:pPr>
      <w:r>
        <w:t>这篇把东北亚北太平洋</w:t>
      </w:r>
      <w:r>
        <w:t xml:space="preserve"> Line P </w:t>
      </w:r>
      <w:r>
        <w:t>附近十多年</w:t>
      </w:r>
      <w:r>
        <w:t xml:space="preserve"> BGC-Argo </w:t>
      </w:r>
      <w:r>
        <w:t>资料、色素和</w:t>
      </w:r>
      <w:r>
        <w:t xml:space="preserve"> DNA metabarcoding </w:t>
      </w:r>
      <w:r>
        <w:t>放在一起分析。</w:t>
      </w:r>
      <w:r>
        <w:rPr>
          <w:lang w:eastAsia="zh-CN"/>
        </w:rPr>
        <w:t>结论是：</w:t>
      </w:r>
      <w:r>
        <w:rPr>
          <w:lang w:eastAsia="zh-CN"/>
        </w:rPr>
        <w:t xml:space="preserve">2015 </w:t>
      </w:r>
      <w:r>
        <w:rPr>
          <w:lang w:eastAsia="zh-CN"/>
        </w:rPr>
        <w:t>和</w:t>
      </w:r>
      <w:r>
        <w:rPr>
          <w:lang w:eastAsia="zh-CN"/>
        </w:rPr>
        <w:t xml:space="preserve"> 2019 </w:t>
      </w:r>
      <w:r>
        <w:rPr>
          <w:lang w:eastAsia="zh-CN"/>
        </w:rPr>
        <w:t>海洋热浪期间</w:t>
      </w:r>
      <w:r>
        <w:rPr>
          <w:lang w:eastAsia="zh-CN"/>
        </w:rPr>
        <w:t xml:space="preserve"> POC </w:t>
      </w:r>
      <w:r>
        <w:rPr>
          <w:lang w:eastAsia="zh-CN"/>
        </w:rPr>
        <w:t>异常升高，但小颗粒在中层累积并缓慢再矿化，未必提高深海封存，反而可能降低碳泵效率；浮游生物群落变化是关键解释变量。</w:t>
      </w:r>
    </w:p>
    <w:p w:rsidR="007760DD" w:rsidRDefault="00BD2BEF">
      <w:r>
        <w:t>链接：</w:t>
      </w:r>
      <w:hyperlink r:id="rId10">
        <w:r>
          <w:rPr>
            <w:color w:val="0563C1"/>
            <w:u w:val="single"/>
          </w:rPr>
          <w:t>https://www.nature.com/articles/s41467-025-63605-w</w:t>
        </w:r>
      </w:hyperlink>
    </w:p>
    <w:p w:rsidR="007760DD" w:rsidRDefault="00BD2BEF">
      <w:pPr>
        <w:pStyle w:val="31"/>
      </w:pPr>
      <w:r>
        <w:rPr>
          <w:rFonts w:ascii="微软雅黑" w:eastAsia="微软雅黑" w:hAnsi="微软雅黑"/>
        </w:rPr>
        <w:t>5. Marine heatwaves are shaping the vertical structure of phytoplankton in</w:t>
      </w:r>
      <w:r>
        <w:rPr>
          <w:rFonts w:ascii="微软雅黑" w:eastAsia="微软雅黑" w:hAnsi="微软雅黑"/>
        </w:rPr>
        <w:t xml:space="preserve"> the global ocean</w:t>
      </w:r>
    </w:p>
    <w:p w:rsidR="007760DD" w:rsidRDefault="00BD2BEF">
      <w:pPr>
        <w:spacing w:after="40"/>
      </w:pPr>
      <w:r>
        <w:rPr>
          <w:color w:val="55697D"/>
          <w:sz w:val="18"/>
        </w:rPr>
        <w:t xml:space="preserve">Ma, X.; Chen, G.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Communications Earth &amp; Environment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2025-08-29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DOI: 10.1038/s43247-025-02718-y</w:t>
      </w:r>
    </w:p>
    <w:p w:rsidR="007760DD" w:rsidRDefault="00BD2BEF">
      <w:r>
        <w:rPr>
          <w:b/>
          <w:sz w:val="19"/>
        </w:rPr>
        <w:t>关键词：</w:t>
      </w:r>
      <w:r>
        <w:rPr>
          <w:b/>
          <w:sz w:val="19"/>
        </w:rPr>
        <w:t>BGC-Argo; marine heatwaves; vertical phytoplankton</w:t>
      </w:r>
      <w:r>
        <w:rPr>
          <w:b/>
          <w:sz w:val="19"/>
        </w:rPr>
        <w:t>。</w:t>
      </w:r>
    </w:p>
    <w:p w:rsidR="007760DD" w:rsidRDefault="00BD2BEF">
      <w:pPr>
        <w:rPr>
          <w:lang w:eastAsia="zh-CN"/>
        </w:rPr>
      </w:pPr>
      <w:r>
        <w:t>这篇直接命中</w:t>
      </w:r>
      <w:r>
        <w:t>“</w:t>
      </w:r>
      <w:r>
        <w:t>热浪影响浮游植物垂向变化</w:t>
      </w:r>
      <w:r>
        <w:t>”</w:t>
      </w:r>
      <w:r>
        <w:t>：利用</w:t>
      </w:r>
      <w:r>
        <w:t xml:space="preserve"> 2008-2024 </w:t>
      </w:r>
      <w:r>
        <w:t>年全球</w:t>
      </w:r>
      <w:r>
        <w:t xml:space="preserve"> BGC-Argo </w:t>
      </w:r>
      <w:r>
        <w:t>剖面，发现</w:t>
      </w:r>
      <w:r>
        <w:t xml:space="preserve"> MHW </w:t>
      </w:r>
      <w:r>
        <w:t>对叶绿素的影响常常在亚表层更强。</w:t>
      </w:r>
      <w:r>
        <w:rPr>
          <w:lang w:eastAsia="zh-CN"/>
        </w:rPr>
        <w:t>响应可分为增强、</w:t>
      </w:r>
      <w:r>
        <w:rPr>
          <w:lang w:eastAsia="zh-CN"/>
        </w:rPr>
        <w:t>减弱和亚表层反转等类型，高纬更易增强，中低纬更易减弱或反转；深叶绿素极大层也会被重塑。</w:t>
      </w:r>
    </w:p>
    <w:p w:rsidR="007760DD" w:rsidRDefault="00BD2BEF">
      <w:r>
        <w:t>链接：</w:t>
      </w:r>
      <w:hyperlink r:id="rId11">
        <w:r>
          <w:rPr>
            <w:color w:val="0563C1"/>
            <w:u w:val="single"/>
          </w:rPr>
          <w:t>https://www.nature.com/articles/s43247-025-02718-y</w:t>
        </w:r>
      </w:hyperlink>
    </w:p>
    <w:p w:rsidR="007760DD" w:rsidRDefault="00BD2BEF">
      <w:pPr>
        <w:pStyle w:val="31"/>
      </w:pPr>
      <w:r>
        <w:rPr>
          <w:rFonts w:ascii="微软雅黑" w:eastAsia="微软雅黑" w:hAnsi="微软雅黑"/>
        </w:rPr>
        <w:t>6. The oceanic physical injection pump of organic carbon</w:t>
      </w:r>
    </w:p>
    <w:p w:rsidR="007760DD" w:rsidRDefault="00BD2BEF">
      <w:pPr>
        <w:spacing w:after="40"/>
      </w:pPr>
      <w:r w:rsidRPr="00BD2BEF">
        <w:rPr>
          <w:color w:val="55697D"/>
          <w:sz w:val="18"/>
          <w:lang w:val="it-IT"/>
        </w:rPr>
        <w:t>Bellacicco, M.; Marullo, S.; Da</w:t>
      </w:r>
      <w:r w:rsidRPr="00BD2BEF">
        <w:rPr>
          <w:color w:val="55697D"/>
          <w:sz w:val="18"/>
          <w:lang w:val="it-IT"/>
        </w:rPr>
        <w:t xml:space="preserve">ll'Olmo, G.; et al.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Nature Communications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2025-08-02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DOI: 10.1038/s41467-025-62363-z</w:t>
      </w:r>
    </w:p>
    <w:p w:rsidR="007760DD" w:rsidRDefault="00BD2BEF">
      <w:r>
        <w:rPr>
          <w:b/>
          <w:sz w:val="19"/>
        </w:rPr>
        <w:t>关键词：</w:t>
      </w:r>
      <w:r>
        <w:rPr>
          <w:b/>
          <w:sz w:val="19"/>
        </w:rPr>
        <w:t>carbon pump; POC/DOC; physical injection pump</w:t>
      </w:r>
      <w:r>
        <w:rPr>
          <w:b/>
          <w:sz w:val="19"/>
        </w:rPr>
        <w:t>。</w:t>
      </w:r>
    </w:p>
    <w:p w:rsidR="007760DD" w:rsidRDefault="00BD2BEF">
      <w:r>
        <w:t>这篇把</w:t>
      </w:r>
      <w:r>
        <w:t xml:space="preserve"> biological carbon pump </w:t>
      </w:r>
      <w:r>
        <w:t>之外的物理注入泵单独量化：用</w:t>
      </w:r>
      <w:r>
        <w:t xml:space="preserve"> 1997-2018 </w:t>
      </w:r>
      <w:r>
        <w:t>年四维</w:t>
      </w:r>
      <w:r>
        <w:t xml:space="preserve"> POC</w:t>
      </w:r>
      <w:r>
        <w:t>、</w:t>
      </w:r>
      <w:r>
        <w:t xml:space="preserve">DOC </w:t>
      </w:r>
      <w:r>
        <w:t>和环流资料估算混合、夹卷和输运造成的有机碳输出。结论是</w:t>
      </w:r>
      <w:r>
        <w:t xml:space="preserve"> POC </w:t>
      </w:r>
      <w:r>
        <w:t>和</w:t>
      </w:r>
      <w:r>
        <w:t xml:space="preserve"> DOC </w:t>
      </w:r>
      <w:r>
        <w:t>的物理输出可达约</w:t>
      </w:r>
      <w:r>
        <w:t xml:space="preserve"> 0.3</w:t>
      </w:r>
      <w:r>
        <w:t xml:space="preserve">7 </w:t>
      </w:r>
      <w:r>
        <w:t>和</w:t>
      </w:r>
      <w:r>
        <w:t xml:space="preserve"> 0.48 Pg C/yr</w:t>
      </w:r>
      <w:r>
        <w:t>，且与</w:t>
      </w:r>
      <w:r>
        <w:t xml:space="preserve"> ENSO</w:t>
      </w:r>
      <w:r>
        <w:t>、</w:t>
      </w:r>
      <w:r>
        <w:t xml:space="preserve">SAM </w:t>
      </w:r>
      <w:r>
        <w:t>相关，提示</w:t>
      </w:r>
      <w:r>
        <w:t xml:space="preserve"> carbon pump </w:t>
      </w:r>
      <w:r>
        <w:t>不能只看重力沉降。</w:t>
      </w:r>
    </w:p>
    <w:p w:rsidR="007760DD" w:rsidRDefault="00BD2BEF">
      <w:r>
        <w:t>链接：</w:t>
      </w:r>
      <w:hyperlink r:id="rId12">
        <w:r>
          <w:rPr>
            <w:color w:val="0563C1"/>
            <w:u w:val="single"/>
          </w:rPr>
          <w:t>https://www.nature.com/articles/s41467-025-62363-z</w:t>
        </w:r>
      </w:hyperlink>
    </w:p>
    <w:p w:rsidR="007760DD" w:rsidRDefault="00BD2BEF">
      <w:pPr>
        <w:pStyle w:val="21"/>
      </w:pPr>
      <w:r>
        <w:t xml:space="preserve">Science </w:t>
      </w:r>
      <w:r>
        <w:t>系列</w:t>
      </w:r>
    </w:p>
    <w:p w:rsidR="007760DD" w:rsidRDefault="00BD2BEF">
      <w:pPr>
        <w:pStyle w:val="31"/>
      </w:pPr>
      <w:r>
        <w:rPr>
          <w:rFonts w:ascii="微软雅黑" w:eastAsia="微软雅黑" w:hAnsi="微软雅黑"/>
        </w:rPr>
        <w:t xml:space="preserve">7. Antarctic krill vertical migrations modulate seasonal carbon </w:t>
      </w:r>
      <w:r>
        <w:rPr>
          <w:rFonts w:ascii="微软雅黑" w:eastAsia="微软雅黑" w:hAnsi="微软雅黑"/>
        </w:rPr>
        <w:t>export</w:t>
      </w:r>
    </w:p>
    <w:p w:rsidR="007760DD" w:rsidRDefault="00BD2BEF">
      <w:pPr>
        <w:spacing w:after="40"/>
      </w:pPr>
      <w:r>
        <w:rPr>
          <w:color w:val="55697D"/>
          <w:sz w:val="18"/>
        </w:rPr>
        <w:t xml:space="preserve">Smith, A. J. R.; Wotherspoon, S.; Ratnarajah, L.; et al.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Science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2025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DOI: 10.1126/science.adq5564</w:t>
      </w:r>
    </w:p>
    <w:p w:rsidR="007760DD" w:rsidRDefault="00BD2BEF">
      <w:r>
        <w:rPr>
          <w:b/>
          <w:sz w:val="19"/>
        </w:rPr>
        <w:t>关键词：</w:t>
      </w:r>
      <w:r>
        <w:rPr>
          <w:b/>
          <w:sz w:val="19"/>
        </w:rPr>
        <w:t>carbon export; vertical migration; Southern Ocean</w:t>
      </w:r>
      <w:r>
        <w:rPr>
          <w:b/>
          <w:sz w:val="19"/>
        </w:rPr>
        <w:t>。</w:t>
      </w:r>
    </w:p>
    <w:p w:rsidR="007760DD" w:rsidRDefault="00BD2BEF">
      <w:r>
        <w:t>这篇</w:t>
      </w:r>
      <w:r>
        <w:t xml:space="preserve"> Science </w:t>
      </w:r>
      <w:r>
        <w:t>关注南大洋磷虾垂向迁移对季节性碳输出的调制。虽然主角不是</w:t>
      </w:r>
      <w:r>
        <w:t xml:space="preserve"> BGC-Argo </w:t>
      </w:r>
      <w:r>
        <w:t>或浮游植物，但它补上了</w:t>
      </w:r>
      <w:r>
        <w:t xml:space="preserve"> carbon pump </w:t>
      </w:r>
      <w:r>
        <w:t>中</w:t>
      </w:r>
      <w:r>
        <w:t xml:space="preserve"> migrant pump </w:t>
      </w:r>
      <w:r>
        <w:t>的</w:t>
      </w:r>
      <w:r>
        <w:t>一环：生物垂向迁移会改变有机碳从表层向深层输送的时间和空间格局。</w:t>
      </w:r>
    </w:p>
    <w:p w:rsidR="007760DD" w:rsidRDefault="00BD2BEF">
      <w:r>
        <w:t>链接：</w:t>
      </w:r>
      <w:hyperlink r:id="rId13">
        <w:r>
          <w:rPr>
            <w:color w:val="0563C1"/>
            <w:u w:val="single"/>
          </w:rPr>
          <w:t>https://www.science.org/doi/10.1126/science.adq5564</w:t>
        </w:r>
      </w:hyperlink>
    </w:p>
    <w:p w:rsidR="007760DD" w:rsidRDefault="00BD2BEF">
      <w:pPr>
        <w:pStyle w:val="31"/>
      </w:pPr>
      <w:r>
        <w:rPr>
          <w:rFonts w:ascii="微软雅黑" w:eastAsia="微软雅黑" w:hAnsi="微软雅黑"/>
        </w:rPr>
        <w:t>8. Declining ocean greenness and phytoplankton blooms in low to mid-latitudes under a warming cli</w:t>
      </w:r>
      <w:r>
        <w:rPr>
          <w:rFonts w:ascii="微软雅黑" w:eastAsia="微软雅黑" w:hAnsi="微软雅黑"/>
        </w:rPr>
        <w:t>mate</w:t>
      </w:r>
    </w:p>
    <w:p w:rsidR="007760DD" w:rsidRDefault="00BD2BEF">
      <w:pPr>
        <w:spacing w:after="40"/>
      </w:pPr>
      <w:r>
        <w:rPr>
          <w:color w:val="55697D"/>
          <w:sz w:val="18"/>
        </w:rPr>
        <w:t xml:space="preserve">Nature Index records 8 authors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Science Advances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2025-10-17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DOI: 10.1126/sciadv.adx4857</w:t>
      </w:r>
    </w:p>
    <w:p w:rsidR="007760DD" w:rsidRDefault="00BD2BEF">
      <w:r>
        <w:rPr>
          <w:b/>
          <w:sz w:val="19"/>
        </w:rPr>
        <w:t>关键词：</w:t>
      </w:r>
      <w:r>
        <w:rPr>
          <w:b/>
          <w:sz w:val="19"/>
        </w:rPr>
        <w:t>ocean colour; phytoplankton blooms; warming</w:t>
      </w:r>
      <w:r>
        <w:rPr>
          <w:b/>
          <w:sz w:val="19"/>
        </w:rPr>
        <w:t>。</w:t>
      </w:r>
    </w:p>
    <w:p w:rsidR="007760DD" w:rsidRDefault="00BD2BEF">
      <w:r>
        <w:t>这篇</w:t>
      </w:r>
      <w:r>
        <w:t xml:space="preserve"> Science Advances </w:t>
      </w:r>
      <w:r>
        <w:t>用海色长期记录分析中低纬海洋</w:t>
      </w:r>
      <w:r>
        <w:t>“</w:t>
      </w:r>
      <w:r>
        <w:t>绿度</w:t>
      </w:r>
      <w:r>
        <w:t>”</w:t>
      </w:r>
      <w:r>
        <w:t>和藻华变化。结论指向变暖背景下低到中纬度海域绿度和藻华发生减弱，意味着表层浮游植物生产和食物网基础可能在退化；可作为</w:t>
      </w:r>
      <w:r>
        <w:t xml:space="preserve"> ocean colour</w:t>
      </w:r>
      <w:r>
        <w:t xml:space="preserve"> </w:t>
      </w:r>
      <w:r>
        <w:t>趋势监测方向的重点跟踪文献。</w:t>
      </w:r>
    </w:p>
    <w:p w:rsidR="007760DD" w:rsidRDefault="00BD2BEF">
      <w:r>
        <w:t>链接：</w:t>
      </w:r>
      <w:hyperlink r:id="rId14">
        <w:r>
          <w:rPr>
            <w:color w:val="0563C1"/>
            <w:u w:val="single"/>
          </w:rPr>
          <w:t>https://www.science.org/doi/10.1126/sciadv.adx4857</w:t>
        </w:r>
      </w:hyperlink>
    </w:p>
    <w:p w:rsidR="007760DD" w:rsidRDefault="00BD2BEF">
      <w:pPr>
        <w:pStyle w:val="21"/>
      </w:pPr>
      <w:r>
        <w:t>高相关期刊</w:t>
      </w:r>
    </w:p>
    <w:p w:rsidR="007760DD" w:rsidRDefault="00BD2BEF">
      <w:pPr>
        <w:pStyle w:val="31"/>
      </w:pPr>
      <w:r>
        <w:rPr>
          <w:rFonts w:ascii="微软雅黑" w:eastAsia="微软雅黑" w:hAnsi="微软雅黑"/>
        </w:rPr>
        <w:t>9. Two Decades of Increase in Southern Ocean Net Community Production Revealed by BGC-Argo Floats</w:t>
      </w:r>
    </w:p>
    <w:p w:rsidR="007760DD" w:rsidRDefault="00BD2BEF">
      <w:pPr>
        <w:spacing w:after="40"/>
      </w:pPr>
      <w:r>
        <w:rPr>
          <w:color w:val="55697D"/>
          <w:sz w:val="18"/>
        </w:rPr>
        <w:t>Liniger, G.;</w:t>
      </w:r>
      <w:r>
        <w:rPr>
          <w:color w:val="55697D"/>
          <w:sz w:val="18"/>
        </w:rPr>
        <w:t xml:space="preserve"> Sharp, J. D.; Takeshita, Y.; Johnson, K. S.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Global Biogeochemical Cycles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2025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DOI: 10.1029/2024GB008371</w:t>
      </w:r>
    </w:p>
    <w:p w:rsidR="007760DD" w:rsidRDefault="00BD2BEF">
      <w:pPr>
        <w:rPr>
          <w:lang w:eastAsia="zh-CN"/>
        </w:rPr>
      </w:pPr>
      <w:r>
        <w:rPr>
          <w:b/>
          <w:sz w:val="19"/>
          <w:lang w:eastAsia="zh-CN"/>
        </w:rPr>
        <w:t>关键词：</w:t>
      </w:r>
      <w:r>
        <w:rPr>
          <w:b/>
          <w:sz w:val="19"/>
          <w:lang w:eastAsia="zh-CN"/>
        </w:rPr>
        <w:t>BGC-Argo; NCP; Southern Ocean</w:t>
      </w:r>
      <w:r>
        <w:rPr>
          <w:b/>
          <w:sz w:val="19"/>
          <w:lang w:eastAsia="zh-CN"/>
        </w:rPr>
        <w:t>。</w:t>
      </w:r>
    </w:p>
    <w:p w:rsidR="007760DD" w:rsidRDefault="00BD2BEF">
      <w:pPr>
        <w:rPr>
          <w:lang w:eastAsia="zh-CN"/>
        </w:rPr>
      </w:pPr>
      <w:r>
        <w:rPr>
          <w:lang w:eastAsia="zh-CN"/>
        </w:rPr>
        <w:t>这篇用</w:t>
      </w:r>
      <w:r>
        <w:rPr>
          <w:lang w:eastAsia="zh-CN"/>
        </w:rPr>
        <w:t xml:space="preserve"> BGC-Argo </w:t>
      </w:r>
      <w:r>
        <w:rPr>
          <w:lang w:eastAsia="zh-CN"/>
        </w:rPr>
        <w:t>约束神经网络重构南大洋硝酸盐，并由季节性硝酸盐消耗估算</w:t>
      </w:r>
      <w:r>
        <w:rPr>
          <w:lang w:eastAsia="zh-CN"/>
        </w:rPr>
        <w:t xml:space="preserve"> ANCP</w:t>
      </w:r>
      <w:r>
        <w:rPr>
          <w:lang w:eastAsia="zh-CN"/>
        </w:rPr>
        <w:t>。结论是</w:t>
      </w:r>
      <w:r>
        <w:rPr>
          <w:lang w:eastAsia="zh-CN"/>
        </w:rPr>
        <w:t xml:space="preserve"> 2004-2022 </w:t>
      </w:r>
      <w:r>
        <w:rPr>
          <w:lang w:eastAsia="zh-CN"/>
        </w:rPr>
        <w:t>年南大洋</w:t>
      </w:r>
      <w:r>
        <w:rPr>
          <w:lang w:eastAsia="zh-CN"/>
        </w:rPr>
        <w:t xml:space="preserve"> ANCP </w:t>
      </w:r>
      <w:r>
        <w:rPr>
          <w:lang w:eastAsia="zh-CN"/>
        </w:rPr>
        <w:t>平均约</w:t>
      </w:r>
      <w:r>
        <w:rPr>
          <w:lang w:eastAsia="zh-CN"/>
        </w:rPr>
        <w:t xml:space="preserve"> 3.91 PgC/yr</w:t>
      </w:r>
      <w:r>
        <w:rPr>
          <w:lang w:eastAsia="zh-CN"/>
        </w:rPr>
        <w:t>，并以约</w:t>
      </w:r>
      <w:r>
        <w:rPr>
          <w:lang w:eastAsia="zh-CN"/>
        </w:rPr>
        <w:t xml:space="preserve"> 0.67%/yr </w:t>
      </w:r>
      <w:r>
        <w:rPr>
          <w:lang w:eastAsia="zh-CN"/>
        </w:rPr>
        <w:t>增长；传统硝酸盐季节消</w:t>
      </w:r>
      <w:r>
        <w:rPr>
          <w:lang w:eastAsia="zh-CN"/>
        </w:rPr>
        <w:t>耗法可能低估深层碳输出约三分之一。</w:t>
      </w:r>
    </w:p>
    <w:p w:rsidR="007760DD" w:rsidRDefault="00BD2BEF">
      <w:r>
        <w:t>链接：</w:t>
      </w:r>
      <w:hyperlink r:id="rId15">
        <w:r>
          <w:rPr>
            <w:color w:val="0563C1"/>
            <w:u w:val="single"/>
          </w:rPr>
          <w:t>https://repository.library.noaa.gov/view/noaa/71386</w:t>
        </w:r>
      </w:hyperlink>
    </w:p>
    <w:p w:rsidR="007760DD" w:rsidRDefault="00BD2BEF">
      <w:pPr>
        <w:pStyle w:val="31"/>
      </w:pPr>
      <w:r>
        <w:rPr>
          <w:rFonts w:ascii="微软雅黑" w:eastAsia="微软雅黑" w:hAnsi="微软雅黑"/>
        </w:rPr>
        <w:t>10. Southern Ocean Carbon Export Revealed by Backscatter and Oxygen Measurements From BGC-Argo Floats</w:t>
      </w:r>
    </w:p>
    <w:p w:rsidR="007760DD" w:rsidRDefault="00BD2BEF">
      <w:pPr>
        <w:spacing w:after="40"/>
      </w:pPr>
      <w:r>
        <w:rPr>
          <w:color w:val="55697D"/>
          <w:sz w:val="18"/>
        </w:rPr>
        <w:t xml:space="preserve">Liniger, </w:t>
      </w:r>
      <w:r>
        <w:rPr>
          <w:color w:val="55697D"/>
          <w:sz w:val="18"/>
        </w:rPr>
        <w:t xml:space="preserve">G.; Moreau, S.; Lannuzel, D.; Carranza, M. M.; Strutton, P. G.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Global Biogeochemical Cycles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2025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DOI: 10.1029/2024GB008193</w:t>
      </w:r>
    </w:p>
    <w:p w:rsidR="007760DD" w:rsidRDefault="00BD2BEF">
      <w:r>
        <w:rPr>
          <w:b/>
          <w:sz w:val="19"/>
        </w:rPr>
        <w:t>关键词：</w:t>
      </w:r>
      <w:r>
        <w:rPr>
          <w:b/>
          <w:sz w:val="19"/>
        </w:rPr>
        <w:t>BGC-Argo; backscatter; oxygen; carbon export</w:t>
      </w:r>
      <w:r>
        <w:rPr>
          <w:b/>
          <w:sz w:val="19"/>
        </w:rPr>
        <w:t>。</w:t>
      </w:r>
    </w:p>
    <w:p w:rsidR="007760DD" w:rsidRDefault="00BD2BEF">
      <w:pPr>
        <w:rPr>
          <w:lang w:eastAsia="zh-CN"/>
        </w:rPr>
      </w:pPr>
      <w:r>
        <w:rPr>
          <w:lang w:eastAsia="zh-CN"/>
        </w:rPr>
        <w:t>这篇用</w:t>
      </w:r>
      <w:r>
        <w:rPr>
          <w:lang w:eastAsia="zh-CN"/>
        </w:rPr>
        <w:t xml:space="preserve"> 212 </w:t>
      </w:r>
      <w:r>
        <w:rPr>
          <w:lang w:eastAsia="zh-CN"/>
        </w:rPr>
        <w:t>个</w:t>
      </w:r>
      <w:r>
        <w:rPr>
          <w:lang w:eastAsia="zh-CN"/>
        </w:rPr>
        <w:t xml:space="preserve"> BGC-Argo </w:t>
      </w:r>
      <w:r>
        <w:rPr>
          <w:lang w:eastAsia="zh-CN"/>
        </w:rPr>
        <w:t>浮标的</w:t>
      </w:r>
      <w:r>
        <w:rPr>
          <w:lang w:eastAsia="zh-CN"/>
        </w:rPr>
        <w:t xml:space="preserve"> backscatter </w:t>
      </w:r>
      <w:r>
        <w:rPr>
          <w:lang w:eastAsia="zh-CN"/>
        </w:rPr>
        <w:t>和溶解氧变化估算南大洋碳输出，覆盖</w:t>
      </w:r>
      <w:r>
        <w:rPr>
          <w:lang w:eastAsia="zh-CN"/>
        </w:rPr>
        <w:t xml:space="preserve"> 2014-2022 </w:t>
      </w:r>
      <w:r>
        <w:rPr>
          <w:lang w:eastAsia="zh-CN"/>
        </w:rPr>
        <w:t>年并包含海冰区。结论是南大洋</w:t>
      </w:r>
      <w:r>
        <w:rPr>
          <w:lang w:eastAsia="zh-CN"/>
        </w:rPr>
        <w:t>每年约有</w:t>
      </w:r>
      <w:r>
        <w:rPr>
          <w:lang w:eastAsia="zh-CN"/>
        </w:rPr>
        <w:t xml:space="preserve"> 2.69 Pg C </w:t>
      </w:r>
      <w:r>
        <w:rPr>
          <w:lang w:eastAsia="zh-CN"/>
        </w:rPr>
        <w:t>下沉到深海，但季节性海冰区贡献约</w:t>
      </w:r>
      <w:r>
        <w:rPr>
          <w:lang w:eastAsia="zh-CN"/>
        </w:rPr>
        <w:t xml:space="preserve"> 8%</w:t>
      </w:r>
      <w:r>
        <w:rPr>
          <w:lang w:eastAsia="zh-CN"/>
        </w:rPr>
        <w:t>，说明海冰区生态系统虽活跃，盆尺度碳输出权重仍需进一步定量。</w:t>
      </w:r>
    </w:p>
    <w:p w:rsidR="007760DD" w:rsidRDefault="00BD2BEF">
      <w:r>
        <w:t>链接：</w:t>
      </w:r>
      <w:hyperlink r:id="rId16">
        <w:r>
          <w:rPr>
            <w:color w:val="0563C1"/>
            <w:u w:val="single"/>
          </w:rPr>
          <w:t>https://doi.org/10.1029/2024GB008193</w:t>
        </w:r>
      </w:hyperlink>
    </w:p>
    <w:p w:rsidR="007760DD" w:rsidRDefault="00BD2BEF">
      <w:pPr>
        <w:pStyle w:val="31"/>
      </w:pPr>
      <w:r>
        <w:rPr>
          <w:rFonts w:ascii="微软雅黑" w:eastAsia="微软雅黑" w:hAnsi="微软雅黑"/>
        </w:rPr>
        <w:t>11. Beyond the surface: machine learning uncovers ENSO's hidden and contrasting impacts on phyt</w:t>
      </w:r>
      <w:r>
        <w:rPr>
          <w:rFonts w:ascii="微软雅黑" w:eastAsia="微软雅黑" w:hAnsi="微软雅黑"/>
        </w:rPr>
        <w:t>oplankton vertical structure</w:t>
      </w:r>
    </w:p>
    <w:p w:rsidR="007760DD" w:rsidRDefault="00BD2BEF">
      <w:pPr>
        <w:spacing w:after="40"/>
      </w:pPr>
      <w:r>
        <w:rPr>
          <w:color w:val="55697D"/>
          <w:sz w:val="18"/>
        </w:rPr>
        <w:t xml:space="preserve">Yang, J.; Wen, Y.; Chen, P.; Zhang, Z.; Pan, D.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ISPRS Journal of Photogrammetry and Remote Sensing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2026-02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DOI: 10.1016/j.isprsjprs.2026.01.002</w:t>
      </w:r>
    </w:p>
    <w:p w:rsidR="007760DD" w:rsidRDefault="00BD2BEF">
      <w:pPr>
        <w:rPr>
          <w:lang w:eastAsia="zh-CN"/>
        </w:rPr>
      </w:pPr>
      <w:r>
        <w:rPr>
          <w:b/>
          <w:sz w:val="19"/>
          <w:lang w:eastAsia="zh-CN"/>
        </w:rPr>
        <w:t>关键词：</w:t>
      </w:r>
      <w:r>
        <w:rPr>
          <w:b/>
          <w:sz w:val="19"/>
          <w:lang w:eastAsia="zh-CN"/>
        </w:rPr>
        <w:t>BGC-Argo; ocean colour; 3D chlorophyll; ENSO</w:t>
      </w:r>
      <w:r>
        <w:rPr>
          <w:b/>
          <w:sz w:val="19"/>
          <w:lang w:eastAsia="zh-CN"/>
        </w:rPr>
        <w:t>。</w:t>
      </w:r>
    </w:p>
    <w:p w:rsidR="007760DD" w:rsidRDefault="00BD2BEF">
      <w:pPr>
        <w:rPr>
          <w:lang w:eastAsia="zh-CN"/>
        </w:rPr>
      </w:pPr>
      <w:r>
        <w:rPr>
          <w:lang w:eastAsia="zh-CN"/>
        </w:rPr>
        <w:t>这篇用</w:t>
      </w:r>
      <w:r>
        <w:rPr>
          <w:lang w:eastAsia="zh-CN"/>
        </w:rPr>
        <w:t xml:space="preserve"> 133,792 </w:t>
      </w:r>
      <w:r>
        <w:rPr>
          <w:lang w:eastAsia="zh-CN"/>
        </w:rPr>
        <w:t>条</w:t>
      </w:r>
      <w:r>
        <w:rPr>
          <w:lang w:eastAsia="zh-CN"/>
        </w:rPr>
        <w:t xml:space="preserve"> BGC-Argo </w:t>
      </w:r>
      <w:r>
        <w:rPr>
          <w:lang w:eastAsia="zh-CN"/>
        </w:rPr>
        <w:t>剖面和多</w:t>
      </w:r>
      <w:r>
        <w:rPr>
          <w:lang w:eastAsia="zh-CN"/>
        </w:rPr>
        <w:t>源卫星资料训练集成机器学习模型，重建</w:t>
      </w:r>
      <w:r>
        <w:rPr>
          <w:lang w:eastAsia="zh-CN"/>
        </w:rPr>
        <w:t xml:space="preserve"> 1998-2022 </w:t>
      </w:r>
      <w:r>
        <w:rPr>
          <w:lang w:eastAsia="zh-CN"/>
        </w:rPr>
        <w:t>年三维叶绿素场。结论是</w:t>
      </w:r>
      <w:r>
        <w:rPr>
          <w:lang w:eastAsia="zh-CN"/>
        </w:rPr>
        <w:t xml:space="preserve"> ENSO </w:t>
      </w:r>
      <w:r>
        <w:rPr>
          <w:lang w:eastAsia="zh-CN"/>
        </w:rPr>
        <w:t>对南海上升流区的表层信号会低估真实响应：</w:t>
      </w:r>
      <w:r>
        <w:rPr>
          <w:lang w:eastAsia="zh-CN"/>
        </w:rPr>
        <w:t xml:space="preserve">El Nino </w:t>
      </w:r>
      <w:r>
        <w:rPr>
          <w:lang w:eastAsia="zh-CN"/>
        </w:rPr>
        <w:t>让</w:t>
      </w:r>
      <w:r>
        <w:rPr>
          <w:lang w:eastAsia="zh-CN"/>
        </w:rPr>
        <w:t xml:space="preserve"> SCM </w:t>
      </w:r>
      <w:r>
        <w:rPr>
          <w:lang w:eastAsia="zh-CN"/>
        </w:rPr>
        <w:t>加深变弱，</w:t>
      </w:r>
      <w:r>
        <w:rPr>
          <w:lang w:eastAsia="zh-CN"/>
        </w:rPr>
        <w:t xml:space="preserve">La Nina </w:t>
      </w:r>
      <w:r>
        <w:rPr>
          <w:lang w:eastAsia="zh-CN"/>
        </w:rPr>
        <w:t>让</w:t>
      </w:r>
      <w:r>
        <w:rPr>
          <w:lang w:eastAsia="zh-CN"/>
        </w:rPr>
        <w:t xml:space="preserve"> SCM </w:t>
      </w:r>
      <w:r>
        <w:rPr>
          <w:lang w:eastAsia="zh-CN"/>
        </w:rPr>
        <w:t>变浅变强，而且亚表层变化常领先表层数月。</w:t>
      </w:r>
    </w:p>
    <w:p w:rsidR="007760DD" w:rsidRDefault="00BD2BEF">
      <w:r>
        <w:t>链接：</w:t>
      </w:r>
      <w:hyperlink r:id="rId17">
        <w:r>
          <w:rPr>
            <w:color w:val="0563C1"/>
            <w:u w:val="single"/>
          </w:rPr>
          <w:t>https://www.sciencedirect.com/science/article/</w:t>
        </w:r>
        <w:r>
          <w:rPr>
            <w:color w:val="0563C1"/>
            <w:u w:val="single"/>
          </w:rPr>
          <w:t>pii/S092427162600002X</w:t>
        </w:r>
      </w:hyperlink>
    </w:p>
    <w:p w:rsidR="007760DD" w:rsidRDefault="00BD2BEF">
      <w:pPr>
        <w:pStyle w:val="31"/>
      </w:pPr>
      <w:r>
        <w:rPr>
          <w:rFonts w:ascii="微软雅黑" w:eastAsia="微软雅黑" w:hAnsi="微软雅黑"/>
        </w:rPr>
        <w:t>12. Depth-resolved phytoplankton responses to persistent marine heatwaves in the southern tropical Indian Ocean</w:t>
      </w:r>
    </w:p>
    <w:p w:rsidR="007760DD" w:rsidRDefault="00BD2BEF">
      <w:pPr>
        <w:spacing w:after="40"/>
      </w:pPr>
      <w:r>
        <w:rPr>
          <w:color w:val="55697D"/>
          <w:sz w:val="18"/>
        </w:rPr>
        <w:t xml:space="preserve">ScienceDirect metadata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International Journal of Applied Earth Observation and Geoinformation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2026-05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DOI: 10.1016/j.</w:t>
      </w:r>
      <w:r>
        <w:rPr>
          <w:color w:val="55697D"/>
          <w:sz w:val="18"/>
        </w:rPr>
        <w:t>jag.2026.105323</w:t>
      </w:r>
    </w:p>
    <w:p w:rsidR="007760DD" w:rsidRDefault="00BD2BEF">
      <w:r>
        <w:rPr>
          <w:b/>
          <w:sz w:val="19"/>
        </w:rPr>
        <w:t>关键词：</w:t>
      </w:r>
      <w:r>
        <w:rPr>
          <w:b/>
          <w:sz w:val="19"/>
        </w:rPr>
        <w:t>marine heatwaves; vertical phytoplankton; carbon export</w:t>
      </w:r>
      <w:r>
        <w:rPr>
          <w:b/>
          <w:sz w:val="19"/>
        </w:rPr>
        <w:t>。</w:t>
      </w:r>
    </w:p>
    <w:p w:rsidR="007760DD" w:rsidRDefault="00BD2BEF">
      <w:r>
        <w:t>这篇聚焦南热带印度洋持续性</w:t>
      </w:r>
      <w:r>
        <w:t xml:space="preserve"> MHW </w:t>
      </w:r>
      <w:r>
        <w:t>的垂向结构。结论是表层强化型</w:t>
      </w:r>
      <w:r>
        <w:t xml:space="preserve"> MHW </w:t>
      </w:r>
      <w:r>
        <w:t>主要压低混合层生产力，而亚表层强化型</w:t>
      </w:r>
      <w:r>
        <w:t xml:space="preserve"> MHW </w:t>
      </w:r>
      <w:r>
        <w:t>会加深</w:t>
      </w:r>
      <w:r>
        <w:t xml:space="preserve"> DCM</w:t>
      </w:r>
      <w:r>
        <w:t>，并在</w:t>
      </w:r>
      <w:r>
        <w:t xml:space="preserve"> 80-150 m </w:t>
      </w:r>
      <w:r>
        <w:t>通过光适应造成约</w:t>
      </w:r>
      <w:r>
        <w:t xml:space="preserve"> 30% Chla </w:t>
      </w:r>
      <w:r>
        <w:t>增加；同时指出亚表层</w:t>
      </w:r>
      <w:r>
        <w:t xml:space="preserve"> MHW </w:t>
      </w:r>
      <w:r>
        <w:t>会削弱</w:t>
      </w:r>
      <w:r>
        <w:t xml:space="preserve"> DCM </w:t>
      </w:r>
      <w:r>
        <w:t>和碳输出。</w:t>
      </w:r>
    </w:p>
    <w:p w:rsidR="007760DD" w:rsidRDefault="00BD2BEF">
      <w:r>
        <w:t>链接：</w:t>
      </w:r>
      <w:hyperlink r:id="rId18">
        <w:r>
          <w:rPr>
            <w:color w:val="0563C1"/>
            <w:u w:val="single"/>
          </w:rPr>
          <w:t>https://www.sciencedirect.com/science/article/pii/S1569843226002396</w:t>
        </w:r>
      </w:hyperlink>
    </w:p>
    <w:p w:rsidR="007760DD" w:rsidRDefault="00BD2BEF">
      <w:pPr>
        <w:pStyle w:val="21"/>
      </w:pPr>
      <w:r>
        <w:t>综述</w:t>
      </w:r>
      <w:r>
        <w:t>/</w:t>
      </w:r>
      <w:r>
        <w:t>方法</w:t>
      </w:r>
    </w:p>
    <w:p w:rsidR="007760DD" w:rsidRDefault="00BD2BEF">
      <w:pPr>
        <w:pStyle w:val="31"/>
      </w:pPr>
      <w:r>
        <w:rPr>
          <w:rFonts w:ascii="微软雅黑" w:eastAsia="微软雅黑" w:hAnsi="微软雅黑"/>
        </w:rPr>
        <w:t>13. Ocean color remote sensing: From 2D legacy to the 3D, AI-driven future</w:t>
      </w:r>
    </w:p>
    <w:p w:rsidR="007760DD" w:rsidRDefault="00BD2BEF">
      <w:pPr>
        <w:spacing w:after="40"/>
      </w:pPr>
      <w:r>
        <w:rPr>
          <w:color w:val="55697D"/>
          <w:sz w:val="18"/>
        </w:rPr>
        <w:t xml:space="preserve">ScienceDirect metadata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ISPRS Journal of Photogrammetry and Remote S</w:t>
      </w:r>
      <w:r>
        <w:rPr>
          <w:color w:val="55697D"/>
          <w:sz w:val="18"/>
        </w:rPr>
        <w:t xml:space="preserve">ensing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2026-07 issue, online before issue </w:t>
      </w:r>
      <w:r>
        <w:rPr>
          <w:color w:val="55697D"/>
          <w:sz w:val="18"/>
        </w:rPr>
        <w:t>｜</w:t>
      </w:r>
      <w:r>
        <w:rPr>
          <w:color w:val="55697D"/>
          <w:sz w:val="18"/>
        </w:rPr>
        <w:t xml:space="preserve"> DOI: 10.1016/j.isprsjprs.2026.04.044</w:t>
      </w:r>
    </w:p>
    <w:p w:rsidR="007760DD" w:rsidRDefault="00BD2BEF">
      <w:r>
        <w:rPr>
          <w:b/>
          <w:sz w:val="19"/>
        </w:rPr>
        <w:t>关键词：</w:t>
      </w:r>
      <w:r>
        <w:rPr>
          <w:b/>
          <w:sz w:val="19"/>
        </w:rPr>
        <w:t>ocean colour; review; lidar; polarization; AI</w:t>
      </w:r>
      <w:r>
        <w:rPr>
          <w:b/>
          <w:sz w:val="19"/>
        </w:rPr>
        <w:t>。</w:t>
      </w:r>
    </w:p>
    <w:p w:rsidR="007760DD" w:rsidRDefault="00BD2BEF">
      <w:pPr>
        <w:rPr>
          <w:lang w:eastAsia="zh-CN"/>
        </w:rPr>
      </w:pPr>
      <w:r>
        <w:t>这是一篇</w:t>
      </w:r>
      <w:r>
        <w:t xml:space="preserve"> ocean colour </w:t>
      </w:r>
      <w:r>
        <w:t>综述，梳理海色遥感从二维表层观测走向三维、</w:t>
      </w:r>
      <w:r>
        <w:t xml:space="preserve">AI </w:t>
      </w:r>
      <w:r>
        <w:t>驱动、多传感器融合的趋势。</w:t>
      </w:r>
      <w:r>
        <w:rPr>
          <w:lang w:eastAsia="zh-CN"/>
        </w:rPr>
        <w:t>它特别强调空间激光雷达、偏振观测和</w:t>
      </w:r>
      <w:r>
        <w:rPr>
          <w:lang w:eastAsia="zh-CN"/>
        </w:rPr>
        <w:t xml:space="preserve"> AI </w:t>
      </w:r>
      <w:r>
        <w:rPr>
          <w:lang w:eastAsia="zh-CN"/>
        </w:rPr>
        <w:t>融合，这些方向正好连接</w:t>
      </w:r>
      <w:r>
        <w:rPr>
          <w:lang w:eastAsia="zh-CN"/>
        </w:rPr>
        <w:t xml:space="preserve"> BGC-Argo </w:t>
      </w:r>
      <w:r>
        <w:rPr>
          <w:lang w:eastAsia="zh-CN"/>
        </w:rPr>
        <w:t>垂向剖面与卫星表层观测，是未来做</w:t>
      </w:r>
      <w:r>
        <w:rPr>
          <w:lang w:eastAsia="zh-CN"/>
        </w:rPr>
        <w:t xml:space="preserve"> bio-opti</w:t>
      </w:r>
      <w:r>
        <w:rPr>
          <w:lang w:eastAsia="zh-CN"/>
        </w:rPr>
        <w:t xml:space="preserve">c </w:t>
      </w:r>
      <w:r>
        <w:rPr>
          <w:lang w:eastAsia="zh-CN"/>
        </w:rPr>
        <w:t>和</w:t>
      </w:r>
      <w:r>
        <w:rPr>
          <w:lang w:eastAsia="zh-CN"/>
        </w:rPr>
        <w:t xml:space="preserve"> carbon pump </w:t>
      </w:r>
      <w:r>
        <w:rPr>
          <w:lang w:eastAsia="zh-CN"/>
        </w:rPr>
        <w:t>遥感应用的重要路线图。</w:t>
      </w:r>
    </w:p>
    <w:p w:rsidR="007760DD" w:rsidRDefault="00BD2BEF">
      <w:r>
        <w:t>链接：</w:t>
      </w:r>
      <w:hyperlink r:id="rId19">
        <w:r>
          <w:rPr>
            <w:color w:val="0563C1"/>
            <w:u w:val="single"/>
          </w:rPr>
          <w:t>https://www.sciencedirect.com/science/article/pii/S0924271626002170</w:t>
        </w:r>
      </w:hyperlink>
    </w:p>
    <w:p w:rsidR="007760DD" w:rsidRDefault="00BD2BEF">
      <w:pPr>
        <w:pStyle w:val="1"/>
      </w:pPr>
      <w:r>
        <w:t>检索式与来源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760DD">
        <w:trPr>
          <w:jc w:val="center"/>
        </w:trPr>
        <w:tc>
          <w:tcPr>
            <w:tcW w:w="5040" w:type="dxa"/>
            <w:vAlign w:val="center"/>
          </w:tcPr>
          <w:p w:rsidR="007760DD" w:rsidRDefault="00BD2BEF">
            <w:r>
              <w:rPr>
                <w:b/>
                <w:sz w:val="18"/>
              </w:rPr>
              <w:t>检索主题</w:t>
            </w:r>
          </w:p>
        </w:tc>
        <w:tc>
          <w:tcPr>
            <w:tcW w:w="5040" w:type="dxa"/>
            <w:vAlign w:val="center"/>
          </w:tcPr>
          <w:p w:rsidR="007760DD" w:rsidRDefault="00BD2BEF">
            <w:r>
              <w:rPr>
                <w:b/>
                <w:sz w:val="18"/>
              </w:rPr>
              <w:t>来源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说明</w:t>
            </w:r>
          </w:p>
        </w:tc>
      </w:tr>
      <w:tr w:rsidR="007760DD">
        <w:trPr>
          <w:jc w:val="center"/>
        </w:trPr>
        <w:tc>
          <w:tcPr>
            <w:tcW w:w="5040" w:type="dxa"/>
            <w:vAlign w:val="center"/>
          </w:tcPr>
          <w:p w:rsidR="007760DD" w:rsidRDefault="00BD2BEF">
            <w:r>
              <w:rPr>
                <w:sz w:val="18"/>
              </w:rPr>
              <w:t xml:space="preserve">BGC-Argo carbon pump / net community production / </w:t>
            </w:r>
            <w:r>
              <w:rPr>
                <w:sz w:val="18"/>
              </w:rPr>
              <w:t>carbon export</w:t>
            </w:r>
          </w:p>
        </w:tc>
        <w:tc>
          <w:tcPr>
            <w:tcW w:w="5040" w:type="dxa"/>
            <w:vAlign w:val="center"/>
          </w:tcPr>
          <w:p w:rsidR="007760DD" w:rsidRDefault="00BD2BEF">
            <w:r>
              <w:rPr>
                <w:sz w:val="18"/>
              </w:rPr>
              <w:t xml:space="preserve">Google Scholar </w:t>
            </w:r>
            <w:r>
              <w:rPr>
                <w:sz w:val="18"/>
              </w:rPr>
              <w:t>优先；补充</w:t>
            </w:r>
            <w:r>
              <w:rPr>
                <w:sz w:val="18"/>
              </w:rPr>
              <w:t xml:space="preserve"> Argo bibliography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NOAA repository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AGU/GB Cycles</w:t>
            </w:r>
          </w:p>
        </w:tc>
      </w:tr>
      <w:tr w:rsidR="007760DD">
        <w:trPr>
          <w:jc w:val="center"/>
        </w:trPr>
        <w:tc>
          <w:tcPr>
            <w:tcW w:w="5040" w:type="dxa"/>
            <w:vAlign w:val="center"/>
          </w:tcPr>
          <w:p w:rsidR="007760DD" w:rsidRDefault="00BD2BEF">
            <w:r>
              <w:rPr>
                <w:sz w:val="18"/>
              </w:rPr>
              <w:t>BGC-Argo phytoplankton / bio-optic / ocean colour</w:t>
            </w:r>
          </w:p>
        </w:tc>
        <w:tc>
          <w:tcPr>
            <w:tcW w:w="5040" w:type="dxa"/>
            <w:vAlign w:val="center"/>
          </w:tcPr>
          <w:p w:rsidR="007760DD" w:rsidRDefault="00BD2BEF">
            <w:r>
              <w:rPr>
                <w:sz w:val="18"/>
              </w:rPr>
              <w:t>Nature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ScienceDirect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Frontiers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Copernicus</w:t>
            </w:r>
            <w:r>
              <w:rPr>
                <w:sz w:val="18"/>
              </w:rPr>
              <w:t>、期刊官网</w:t>
            </w:r>
          </w:p>
        </w:tc>
      </w:tr>
      <w:tr w:rsidR="007760DD">
        <w:trPr>
          <w:jc w:val="center"/>
        </w:trPr>
        <w:tc>
          <w:tcPr>
            <w:tcW w:w="5040" w:type="dxa"/>
            <w:vAlign w:val="center"/>
          </w:tcPr>
          <w:p w:rsidR="007760DD" w:rsidRDefault="00BD2BEF">
            <w:r>
              <w:rPr>
                <w:sz w:val="18"/>
              </w:rPr>
              <w:t>marine heatwaves phytoplankton vertical / DCM / BGC-Argo</w:t>
            </w:r>
          </w:p>
        </w:tc>
        <w:tc>
          <w:tcPr>
            <w:tcW w:w="5040" w:type="dxa"/>
            <w:vAlign w:val="center"/>
          </w:tcPr>
          <w:p w:rsidR="007760DD" w:rsidRDefault="00BD2BEF">
            <w:r>
              <w:rPr>
                <w:sz w:val="18"/>
              </w:rPr>
              <w:t xml:space="preserve">Nature </w:t>
            </w:r>
            <w:r>
              <w:rPr>
                <w:sz w:val="18"/>
              </w:rPr>
              <w:t>Portfolio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ScienceDirect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JGR/GRL/Frontiers </w:t>
            </w:r>
            <w:r>
              <w:rPr>
                <w:sz w:val="18"/>
              </w:rPr>
              <w:t>相关结果</w:t>
            </w:r>
          </w:p>
        </w:tc>
      </w:tr>
      <w:tr w:rsidR="007760DD">
        <w:trPr>
          <w:jc w:val="center"/>
        </w:trPr>
        <w:tc>
          <w:tcPr>
            <w:tcW w:w="5040" w:type="dxa"/>
            <w:vAlign w:val="center"/>
          </w:tcPr>
          <w:p w:rsidR="007760DD" w:rsidRDefault="00BD2BEF">
            <w:r>
              <w:rPr>
                <w:sz w:val="18"/>
              </w:rPr>
              <w:t>排序</w:t>
            </w:r>
          </w:p>
        </w:tc>
        <w:tc>
          <w:tcPr>
            <w:tcW w:w="5040" w:type="dxa"/>
            <w:vAlign w:val="center"/>
          </w:tcPr>
          <w:p w:rsidR="007760DD" w:rsidRDefault="00BD2BEF">
            <w:r>
              <w:rPr>
                <w:sz w:val="18"/>
              </w:rPr>
              <w:t xml:space="preserve">Nature </w:t>
            </w:r>
            <w:r>
              <w:rPr>
                <w:sz w:val="18"/>
              </w:rPr>
              <w:t>系列</w:t>
            </w:r>
            <w:r>
              <w:rPr>
                <w:sz w:val="18"/>
              </w:rPr>
              <w:t xml:space="preserve"> -&gt; Science </w:t>
            </w:r>
            <w:r>
              <w:rPr>
                <w:sz w:val="18"/>
              </w:rPr>
              <w:t>系列</w:t>
            </w:r>
            <w:r>
              <w:rPr>
                <w:sz w:val="18"/>
              </w:rPr>
              <w:t xml:space="preserve"> -&gt; </w:t>
            </w:r>
            <w:r>
              <w:rPr>
                <w:sz w:val="18"/>
              </w:rPr>
              <w:t>领域高相关高影响期刊；去重后保留原创研究和一篇方法综述</w:t>
            </w:r>
          </w:p>
        </w:tc>
      </w:tr>
    </w:tbl>
    <w:p w:rsidR="007760DD" w:rsidRDefault="007760DD"/>
    <w:p w:rsidR="007760DD" w:rsidRDefault="00BD2BEF">
      <w:pPr>
        <w:rPr>
          <w:lang w:eastAsia="zh-CN"/>
        </w:rPr>
      </w:pPr>
      <w:r>
        <w:rPr>
          <w:i/>
          <w:color w:val="55697D"/>
          <w:lang w:eastAsia="zh-CN"/>
        </w:rPr>
        <w:t>注：本示例为手动首跑版；每日自动化会按同一格式重新检索当天可见的新论文，并生成对应日期的</w:t>
      </w:r>
      <w:r>
        <w:rPr>
          <w:i/>
          <w:color w:val="55697D"/>
          <w:lang w:eastAsia="zh-CN"/>
        </w:rPr>
        <w:t xml:space="preserve"> Word </w:t>
      </w:r>
      <w:r>
        <w:rPr>
          <w:i/>
          <w:color w:val="55697D"/>
          <w:lang w:eastAsia="zh-CN"/>
        </w:rPr>
        <w:t>文档。</w:t>
      </w:r>
    </w:p>
    <w:sectPr w:rsidR="007760D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60DD"/>
    <w:rsid w:val="00AA1D8D"/>
    <w:rsid w:val="00B47730"/>
    <w:rsid w:val="00BD2B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02FE35C-FBA8-4680-B95A-BD2F8E73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3247-026-03410-5" TargetMode="External"/><Relationship Id="rId13" Type="http://schemas.openxmlformats.org/officeDocument/2006/relationships/hyperlink" Target="https://www.science.org/doi/10.1126/science.adq5564" TargetMode="External"/><Relationship Id="rId18" Type="http://schemas.openxmlformats.org/officeDocument/2006/relationships/hyperlink" Target="https://www.sciencedirect.com/science/article/pii/S1569843226002396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www.nature.com/articles/s41558-026-02598-w" TargetMode="External"/><Relationship Id="rId12" Type="http://schemas.openxmlformats.org/officeDocument/2006/relationships/hyperlink" Target="https://www.nature.com/articles/s41467-025-62363-z" TargetMode="External"/><Relationship Id="rId17" Type="http://schemas.openxmlformats.org/officeDocument/2006/relationships/hyperlink" Target="https://www.sciencedirect.com/science/article/pii/S092427162600002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29/2024GB008193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nature.com/articles/s43247-025-02718-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epository.library.noaa.gov/view/noaa/71386" TargetMode="External"/><Relationship Id="rId10" Type="http://schemas.openxmlformats.org/officeDocument/2006/relationships/hyperlink" Target="https://www.nature.com/articles/s41467-025-63605-w" TargetMode="External"/><Relationship Id="rId19" Type="http://schemas.openxmlformats.org/officeDocument/2006/relationships/hyperlink" Target="https://www.sciencedirect.com/science/article/pii/S092427162600217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ature.com/articles/s41467-025-60906-y" TargetMode="External"/><Relationship Id="rId14" Type="http://schemas.openxmlformats.org/officeDocument/2006/relationships/hyperlink" Target="https://www.science.org/doi/10.1126/sciadv.adx48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5A2A62-61F3-4484-9E4B-C4C6726A1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1167</Words>
  <Characters>6653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MENGYU LI</cp:lastModifiedBy>
  <cp:revision>2</cp:revision>
  <dcterms:created xsi:type="dcterms:W3CDTF">2013-12-23T23:15:00Z</dcterms:created>
  <dcterms:modified xsi:type="dcterms:W3CDTF">2026-05-27T08:44:00Z</dcterms:modified>
  <cp:category/>
</cp:coreProperties>
</file>