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检索日期：2026-10-05 | GitHub Actions 自动生成</w:t>
      </w:r>
    </w:p>
    <w:p>
      <w:pPr>
        <w:pStyle w:val="Heading1"/>
      </w:pPr>
      <w:r>
        <w:t>今日总览</w:t>
      </w:r>
    </w:p>
    <w:p>
      <w:r>
        <w:rPr>
          <w:rFonts w:ascii="Microsoft YaHei" w:hAnsi="Microsoft YaHei" w:eastAsia="Microsoft YaHei"/>
        </w:rPr>
        <w:t>历史去重后今日新增 11 篇。排序规则：Nature 系列、Science 系列、其余重点期刊、重点关注团队、其他相关补充论文。</w:t>
      </w:r>
    </w:p>
    <w:p>
      <w:pPr>
        <w:pStyle w:val="Heading1"/>
      </w:pPr>
      <w:r>
        <w:t>论文速读</w:t>
      </w:r>
    </w:p>
    <w:p>
      <w:pPr>
        <w:pStyle w:val="Heading2"/>
      </w:pPr>
      <w:r>
        <w:t>Nature 系列</w:t>
      </w:r>
    </w:p>
    <w:p>
      <w:pPr>
        <w:pStyle w:val="Heading3"/>
      </w:pPr>
      <w:r>
        <w:rPr>
          <w:rFonts w:ascii="Microsoft YaHei" w:hAnsi="Microsoft YaHei" w:eastAsia="Microsoft YaHei"/>
          <w:b/>
        </w:rPr>
        <w:t>1. Ocean acidification reshapes phytoplankton phosphorus metabolism under phosphate-limited conditions</w:t>
      </w:r>
    </w:p>
    <w:p>
      <w:r>
        <w:rPr>
          <w:rFonts w:ascii="Microsoft YaHei" w:hAnsi="Microsoft YaHei" w:eastAsia="Microsoft YaHei"/>
          <w:color w:val="55697D"/>
          <w:sz w:val="18"/>
        </w:rPr>
        <w:t>作者：Bingkun Wang; Yapeng Wang; Yanmin Sun; Xintong Huang; Fan Yang; Zhuonan Wang; Hai Chi; Shanying Tong; et al.</w:t>
      </w:r>
    </w:p>
    <w:p>
      <w:r>
        <w:rPr>
          <w:rFonts w:ascii="Microsoft YaHei" w:hAnsi="Microsoft YaHei" w:eastAsia="Microsoft YaHei"/>
          <w:color w:val="55697D"/>
          <w:sz w:val="18"/>
        </w:rPr>
        <w:t>期刊：Nature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DOI：10.1038/s41561-026-02113-y</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链接：https://doi.org/10.1038/s41561-026-02113-y</w:t>
      </w:r>
    </w:p>
    <w:p>
      <w:pPr>
        <w:pStyle w:val="Heading2"/>
      </w:pPr>
      <w:r>
        <w:t>重点期刊：按影响力和相关性排序</w:t>
      </w:r>
    </w:p>
    <w:p>
      <w:pPr>
        <w:pStyle w:val="Heading3"/>
      </w:pPr>
      <w:r>
        <w:rPr>
          <w:rFonts w:ascii="Microsoft YaHei" w:hAnsi="Microsoft YaHei" w:eastAsia="Microsoft YaHei"/>
          <w:b/>
        </w:rPr>
        <w:t>2. Cascading fishery collapse associated with thermal habitat degradation, marine heatwaves, and predator influx</w:t>
      </w:r>
    </w:p>
    <w:p>
      <w:r>
        <w:rPr>
          <w:rFonts w:ascii="Microsoft YaHei" w:hAnsi="Microsoft YaHei" w:eastAsia="Microsoft YaHei"/>
          <w:color w:val="55697D"/>
          <w:sz w:val="18"/>
        </w:rPr>
        <w:t>作者：Seongsik Park; Seokjin Yoon; In-Cheol Lee; Kyunghoi Kim</w:t>
      </w:r>
    </w:p>
    <w:p>
      <w:r>
        <w:rPr>
          <w:rFonts w:ascii="Microsoft YaHei" w:hAnsi="Microsoft YaHei" w:eastAsia="Microsoft YaHei"/>
          <w:color w:val="55697D"/>
          <w:sz w:val="18"/>
        </w:rPr>
        <w:t>期刊：Communications Earth &amp; Environment</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DOI：10.1038/s43247-026-04110-w</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链接：https://doi.org/10.1038/s43247-026-04110-w</w:t>
      </w:r>
    </w:p>
    <w:p>
      <w:pPr>
        <w:pStyle w:val="Heading3"/>
      </w:pPr>
      <w:r>
        <w:rPr>
          <w:rFonts w:ascii="Microsoft YaHei" w:hAnsi="Microsoft YaHei" w:eastAsia="Microsoft YaHei"/>
          <w:b/>
        </w:rPr>
        <w:t>3. 10‐Year Changes in Oceanic Mesoscale Eddies in Northeast Asia Using the Coupling of GOCI and Satellite Altimetry Data</w:t>
      </w:r>
    </w:p>
    <w:p>
      <w:r>
        <w:rPr>
          <w:rFonts w:ascii="Microsoft YaHei" w:hAnsi="Microsoft YaHei" w:eastAsia="Microsoft YaHei"/>
          <w:color w:val="55697D"/>
          <w:sz w:val="18"/>
        </w:rPr>
        <w:t>作者：He Cui; Jianyu Chen; Delu Pan; Xiaoyi Jiang; Yu Fu</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DOI：10.1029/2025jc022741</w:t>
      </w:r>
    </w:p>
    <w:p>
      <w:r>
        <w:rPr>
          <w:rFonts w:ascii="Microsoft YaHei" w:hAnsi="Microsoft YaHei" w:eastAsia="Microsoft YaHei"/>
          <w:b/>
          <w:sz w:val="19"/>
        </w:rPr>
        <w:t>关键词：phytoplankton; ocean colour</w:t>
      </w:r>
    </w:p>
    <w:p>
      <w:r>
        <w:rPr>
          <w:rFonts w:ascii="Microsoft YaHei" w:hAnsi="Microsoft YaHei" w:eastAsia="Microsoft YaHei"/>
          <w:sz w:val="17"/>
        </w:rPr>
        <w:t>摘要：本研究利用对地静止海洋彩色成像仪（GOCI）高时空分辨率的独特优势，解决了传统极轨卫星数据时空采样不足的局限性。结合卫星海洋学涡流轨迹数据的归档验证和解释，我们建立了东北亚（NEA）海域的涡流叶绿素（CHL）数据集（2011-2021）。通过综合分析和标准化寿命跟踪，本研究系统地揭示了中尺度涡旋内CHL的空间分布特征及其在整个涡旋寿命中的演化。结果表明，反气旋（气旋）涡流 A(C)E 减弱（增强）了内部 CHL 浓度分布。 在标准化寿命期间，半径和转速之间的相关性随着参数值的增加而增加。引入相对振荡幅度（ROA）来克服区域背景差异。结果表明，反气旋涡旋（AEs）（3. 36）的ROA明显大于气旋涡旋（CEs）（1. 01）。区域分解表明，该信号主要由贫营养西北太平洋 (NWP) 副热带环流区域的 AE 驱动，而日本海 (JS) 主要调节 CE 中的 CHL 变化。 NWP AE 中 CHL 的异常增强可能是由冬季混合和浮游植物光驯化机制共同驱动的。这些发现证明了对地静止海洋颜色观测对于理解中尺度涡流生物物理学及其强烈的区域依赖性的独特价值。</w:t>
      </w:r>
    </w:p>
    <w:p>
      <w:r>
        <w:rPr>
          <w:rFonts w:ascii="Microsoft YaHei" w:hAnsi="Microsoft YaHei" w:eastAsia="Microsoft YaHei"/>
          <w:color w:val="0563C1"/>
          <w:sz w:val="18"/>
        </w:rPr>
        <w:t>链接：https://doi.org/10.1029/2025jc022741</w:t>
      </w:r>
    </w:p>
    <w:p>
      <w:pPr>
        <w:pStyle w:val="Heading3"/>
      </w:pPr>
      <w:r>
        <w:rPr>
          <w:rFonts w:ascii="Microsoft YaHei" w:hAnsi="Microsoft YaHei" w:eastAsia="Microsoft YaHei"/>
          <w:b/>
        </w:rPr>
        <w:t>4. Phytoplankton community structure and variability at the landfast ice–water column interface in Terra Nova Bay, Ross Sea (Antarctica)</w:t>
      </w:r>
    </w:p>
    <w:p>
      <w:r>
        <w:rPr>
          <w:rFonts w:ascii="Microsoft YaHei" w:hAnsi="Microsoft YaHei" w:eastAsia="Microsoft YaHei"/>
          <w:color w:val="55697D"/>
          <w:sz w:val="18"/>
        </w:rPr>
        <w:t>作者：Francesco Bolinesi; Emanuela Serino; Maria Saggiomo; Vincenzo Saggiomo; Francesca Margiotta; Augusto Passarelli; Olga Mangoni</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DOI：10.3389/fmars.2026.1955474</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摘要：特拉诺瓦湾的陆地冰代表了一个动态的生态界面，海冰结构、融水输入和片状冰过程相互作用，形成冰-海洋边界上的微藻群落。在 2015/2016 年南方春夏季期间，我们研究了季节转变（从早期到逐渐融化和分层）如何调节共生组合的发展及其与底层水柱的联系。通过整合海冰热力学、色素特征、营养变异性和水柱剖面，我们描述了物理强迫和生物地球化学梯度如何相互作用来塑造群落组成和功能结构。表面盐度从最高 36. 67 降至最低 30. 67，而表面叶绿素 a 在 12 月初生物量最大期间超过 40 µg L-1，随后在 12 月底和 1 月下降至 1 µg L-1 以下。色素记录显示岩藻黄质、19'-己酰基氧基岩藻黄质 (19'HF) 和叶绿素 c2 的相对贡献发生变化，而多变量分析确定了显着的垂直效应 (PERMANOVA, F = 1. 7188, R² = 0. 1629, p = 0. 0003)，采样日期被视为时间阻塞因素。总之，这些发现强调了陆地冰下受融水影响的层是连接海冰过程与南极沿海水域浮游植物动态的生物学相关界面。</w:t>
      </w:r>
    </w:p>
    <w:p>
      <w:r>
        <w:rPr>
          <w:rFonts w:ascii="Microsoft YaHei" w:hAnsi="Microsoft YaHei" w:eastAsia="Microsoft YaHei"/>
          <w:color w:val="0563C1"/>
          <w:sz w:val="18"/>
        </w:rPr>
        <w:t>链接：https://doi.org/10.3389/fmars.2026.1955474</w:t>
      </w:r>
    </w:p>
    <w:p>
      <w:pPr>
        <w:pStyle w:val="Heading3"/>
      </w:pPr>
      <w:r>
        <w:rPr>
          <w:rFonts w:ascii="Microsoft YaHei" w:hAnsi="Microsoft YaHei" w:eastAsia="Microsoft YaHei"/>
          <w:b/>
        </w:rPr>
        <w:t>5. Quality Control of GNSS/Leveling-Derived Geoid Heights and Implications for LiDAR-Based Coastal Low-Elevation Classification</w:t>
      </w:r>
    </w:p>
    <w:p>
      <w:r>
        <w:rPr>
          <w:rFonts w:ascii="Microsoft YaHei" w:hAnsi="Microsoft YaHei" w:eastAsia="Microsoft YaHei"/>
          <w:color w:val="55697D"/>
          <w:sz w:val="18"/>
        </w:rPr>
        <w:t>作者：Rahayu Lestari; Cheinway Hwang; Sevda Olgun</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DOI：10.3390/rs18193406</w:t>
      </w:r>
    </w:p>
    <w:p>
      <w:r>
        <w:rPr>
          <w:rFonts w:ascii="Microsoft YaHei" w:hAnsi="Microsoft YaHei" w:eastAsia="Microsoft YaHei"/>
          <w:b/>
          <w:sz w:val="19"/>
        </w:rPr>
        <w:t>关键词：carbon pump; vertical structure</w:t>
      </w:r>
    </w:p>
    <w:p>
      <w:r>
        <w:rPr>
          <w:rFonts w:ascii="Microsoft YaHei" w:hAnsi="Microsoft YaHei" w:eastAsia="Microsoft YaHei"/>
          <w:sz w:val="17"/>
        </w:rPr>
        <w:t>摘要：全球导航卫星系统 (GNSS)/水准测量观测到的大地水准面高度广泛用于验证重力大地水准面模型并构建用于实际高度转换的混合大地水准面模型。然而，在构造活跃和容易沉降的地区，这些观测结果可能包含由垂直变形、基准不稳定、参考系差异以及 GNSS 和水准测量之间的时间不匹配引起的误差。本研究评估了台湾近期 GNSS/水准测量观测到的大地水准面高度的质量，并研究了这些不一致对混合大地水准面构建和基于光探测和测距 (LiDAR) 的沿海低海拔分类的影响。 首先使用垂直速度场来校正 GNSS 导出的椭球高度和水准导出的正高观测历元之间发生的高度变化。然后使用留一交叉验证 (LOOCV) 和迭代 3σ 离群值筛选程序来评估所得观测到的大地水准面高度，以识别空间不一致的观测值。通过对重力大地水准面和校正的观测大地水准面高度之间的校正表面进行建模，使用精炼的数据集构建混合大地水准面。 30% 随机保留评估表明，混合校正大大减少了筛选的 GNSS/水准网络内的残差，将平均残差从 -0 降低。 222 m 至 0. 003 m，RMSE 从 0. 236 m 至 0. 041 m。 随后将这两个大地水准面模型应用于 20 m LiDAR 衍生的高程数据集，以评估它们对正高转换和沿海低高程分类的影响。尽管沿海低地的大体格局仍然相似，但局部厘米级到分米级的高度差异可能会改变临界海拔阈值附近的像素分类，特别是在台湾平坦的西部沿海平原。这些结果表明，GNSS/水准测量导出的大地水准面高度的变形感知质量控制和混合大地水准面细化不仅对于高度现代化很重要，而且对于可靠的基于遥感的海岸高程评估也很重要。</w:t>
      </w:r>
    </w:p>
    <w:p>
      <w:r>
        <w:rPr>
          <w:rFonts w:ascii="Microsoft YaHei" w:hAnsi="Microsoft YaHei" w:eastAsia="Microsoft YaHei"/>
          <w:color w:val="0563C1"/>
          <w:sz w:val="18"/>
        </w:rPr>
        <w:t>链接：https://doi.org/10.3390/rs18193406</w:t>
      </w:r>
    </w:p>
    <w:p>
      <w:pPr>
        <w:pStyle w:val="Heading2"/>
      </w:pPr>
      <w:r>
        <w:t>重点关注团队</w:t>
      </w:r>
    </w:p>
    <w:p>
      <w:pPr>
        <w:pStyle w:val="Heading3"/>
      </w:pPr>
      <w:r>
        <w:rPr>
          <w:rFonts w:ascii="Microsoft YaHei" w:hAnsi="Microsoft YaHei" w:eastAsia="Microsoft YaHei"/>
          <w:b/>
        </w:rPr>
        <w:t>6. Structure of Carbon Pools in Surface and Subsurface Horizons of the Main Soil Types in the Russian Arctic</w:t>
      </w:r>
    </w:p>
    <w:p>
      <w:r>
        <w:rPr>
          <w:rFonts w:ascii="Microsoft YaHei" w:hAnsi="Microsoft YaHei" w:eastAsia="Microsoft YaHei"/>
          <w:color w:val="55697D"/>
          <w:sz w:val="18"/>
        </w:rPr>
        <w:t>作者：Timur Nizamutdinov; Vyacheslav Polyakov; Anna Shvetsova; Egor Artyukhov; Anastasia Vainberg; Sizhong Yang; Xiaodong Wu; Evgeny Abakumov</w:t>
      </w:r>
    </w:p>
    <w:p>
      <w:r>
        <w:rPr>
          <w:rFonts w:ascii="Microsoft YaHei" w:hAnsi="Microsoft YaHei" w:eastAsia="Microsoft YaHei"/>
          <w:color w:val="55697D"/>
          <w:sz w:val="18"/>
        </w:rPr>
        <w:t>期刊：Nitrogen</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DOI：10.3390/nitrogen7040112</w:t>
      </w:r>
    </w:p>
    <w:p>
      <w:r>
        <w:rPr>
          <w:rFonts w:ascii="Microsoft YaHei" w:hAnsi="Microsoft YaHei" w:eastAsia="Microsoft YaHei"/>
          <w:b/>
          <w:sz w:val="19"/>
        </w:rPr>
        <w:t>关键词：carbon pump; vertical structure</w:t>
      </w:r>
    </w:p>
    <w:p>
      <w:r>
        <w:rPr>
          <w:rFonts w:ascii="Microsoft YaHei" w:hAnsi="Microsoft YaHei" w:eastAsia="Microsoft YaHei"/>
          <w:sz w:val="17"/>
        </w:rPr>
        <w:t>摘要：北极和亚北极土壤储存了全球土壤有机碳（SOC）库的大约一半，但这些碳库的结构稳定性和脆弱性仍然受到很少的限制。大多数区域评估将冰冻圈视为同质实体，忽视了控制碳稳定机制的深刻的分类多样性和垂直分层。本研究以亚马尔-涅涅茨自治州 (YNAO) 土壤为例，调查了俄罗斯北极地区主要土壤类型（灰土、冰土、灰土和稀土）的碳和氮库结构，以阐明受永久冻土影响的景观中有机质持久性的土壤成因控制。对三个地貌地点（下鄂毕盆地、Rai-Iz 山地块、亚马尔半岛南部）的土壤剖面进行了采样。 物理分馏分离出含有颗粒有机碳 (POC)、矿物伴生有机碳 (MAOC) 和矿物伴生有机氮 (MAON) 的粒度级分。表土碳库表现出强烈的分类差异。灰化土以 POC 为主（占 SOC 的 86%），具有较宽的 C/N 比 (38)，反映了灰化作用和酸性淋溶作用；稀土体表现出最高的 MAOC 比例 (65%) 和窄的 C/N 比 (7)，表明矿物质快速稳定；冰冻土积累了最高的绝对 SOC 和总氮 (TN) 含量，但无论总碳浓度如何，都保持结构上受限的分配。地下层显示出向矿物学限制的转变，SOC 和 MAOC 之间具有近乎完美的线性比例。 垂直解耦很明显，表土 SOC 很难预测底土含量，并且 MAOC 比例在深度上没有表现出统计上显着的线性相关性。北极土壤的碳稳定性受不同气候限制下运行的不同基本成土过程（灰土化、低温扰动、格莱化和初始土壤形成）的控制。碳库的垂直解耦和稳定机制的分类分歧强调了区域碳模型中特定土壤类​​型参数化的必要性。</w:t>
      </w:r>
    </w:p>
    <w:p>
      <w:r>
        <w:rPr>
          <w:rFonts w:ascii="Microsoft YaHei" w:hAnsi="Microsoft YaHei" w:eastAsia="Microsoft YaHei"/>
          <w:color w:val="0563C1"/>
          <w:sz w:val="18"/>
        </w:rPr>
        <w:t>链接：https://doi.org/10.3390/nitrogen7040112</w:t>
      </w:r>
    </w:p>
    <w:p>
      <w:pPr>
        <w:pStyle w:val="Heading3"/>
      </w:pPr>
      <w:r>
        <w:rPr>
          <w:rFonts w:ascii="Microsoft YaHei" w:hAnsi="Microsoft YaHei" w:eastAsia="Microsoft YaHei"/>
          <w:b/>
        </w:rPr>
        <w:t>7. Transient Disturbance and Community Convergence of Coral-Associated Microbial Communities Under Acidification, Benzo[a]pyrene Pollution, and Combined Stress in Coral Acropora millepora</w:t>
      </w:r>
    </w:p>
    <w:p>
      <w:r>
        <w:rPr>
          <w:rFonts w:ascii="Microsoft YaHei" w:hAnsi="Microsoft YaHei" w:eastAsia="Microsoft YaHei"/>
          <w:color w:val="55697D"/>
          <w:sz w:val="18"/>
        </w:rPr>
        <w:t>作者：Zhao Qi; Yumei Chen; Lianzheng Yin; Hongmei Jing; Chuanliang Wu; Tinghan Yang; Xiaoping Diao</w:t>
      </w:r>
    </w:p>
    <w:p>
      <w:r>
        <w:rPr>
          <w:rFonts w:ascii="Microsoft YaHei" w:hAnsi="Microsoft YaHei" w:eastAsia="Microsoft YaHei"/>
          <w:color w:val="55697D"/>
          <w:sz w:val="18"/>
        </w:rPr>
        <w:t>期刊：Microorganisms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DOI：10.3390/microorganisms14102259</w:t>
      </w:r>
    </w:p>
    <w:p>
      <w:r>
        <w:rPr>
          <w:rFonts w:ascii="Microsoft YaHei" w:hAnsi="Microsoft YaHei" w:eastAsia="Microsoft YaHei"/>
          <w:b/>
          <w:sz w:val="19"/>
        </w:rPr>
        <w:t>关键词：phytoplankton; microbial carbon</w:t>
      </w:r>
    </w:p>
    <w:p>
      <w:r>
        <w:rPr>
          <w:rFonts w:ascii="Microsoft YaHei" w:hAnsi="Microsoft YaHei" w:eastAsia="Microsoft YaHei"/>
          <w:sz w:val="17"/>
        </w:rPr>
        <w:t>摘要：全球气候变化和有机污染物造成的海洋酸化（OA）正在增加珊瑚礁生态系统面临的生态风险。珊瑚全生物由多种微生物群落组成，它们共同支持珊瑚宿主应对和适应环境压力。然而，珊瑚全生物对酸化和苯并[a]芘（BaP）联合应激的反应仍然知之甚少。在本研究中，选择鹿角珊瑚作为模式物种，研究珊瑚相关微生物组对酸化（pH 7. 8）、BaP 暴露（10 µg·L−1）的反应及其综合影响。我们发现，虽然所有处理组中与珊瑚相关的共生藻科的细胞密度随着暴露时间的延长而显着增加，但叶绿素a含量没有时间差异。 共生科群落在所有处理中均保持稳定，以枝叶属为优势属，C3u亚型相对丰度最高（&gt;70%）。在单一应激处理（酸化，BaP）中观察到稀有细菌类群快速显着增加，而长期暴露导致组合应激组中独特细菌类群数量在两周内增加。令人惊讶的是，联合处理组中核心珊瑚相关细菌的主要群落结构与对照组接近。在所有处理中，核心珊瑚相关细菌（包括鞘氨醇单胞菌科和伯克霍尔德氏菌科）始终在微生物群落中占主导地位，而核心珊瑚相关古细菌表现出更多的随机变化。 总的来说，这些结果凸显了珊瑚相关微生物组在快速灵活地应对环境压力方面的关键作用，从而有助于在多种压力条件下维持全生物体的稳定性。</w:t>
      </w:r>
    </w:p>
    <w:p>
      <w:r>
        <w:rPr>
          <w:rFonts w:ascii="Microsoft YaHei" w:hAnsi="Microsoft YaHei" w:eastAsia="Microsoft YaHei"/>
          <w:color w:val="0563C1"/>
          <w:sz w:val="18"/>
        </w:rPr>
        <w:t>链接：https://doi.org/10.3390/microorganisms14102259</w:t>
      </w:r>
    </w:p>
    <w:p>
      <w:pPr>
        <w:pStyle w:val="Heading3"/>
      </w:pPr>
      <w:r>
        <w:rPr>
          <w:rFonts w:ascii="Microsoft YaHei" w:hAnsi="Microsoft YaHei" w:eastAsia="Microsoft YaHei"/>
          <w:b/>
        </w:rPr>
        <w:t>8. Early Ediacaran micro- and macro-fossils from South China provide insights into post-Snowball Earth marine ecosystem</w:t>
      </w:r>
    </w:p>
    <w:p>
      <w:r>
        <w:rPr>
          <w:rFonts w:ascii="Microsoft YaHei" w:hAnsi="Microsoft YaHei" w:eastAsia="Microsoft YaHei"/>
          <w:color w:val="55697D"/>
          <w:sz w:val="18"/>
        </w:rPr>
        <w:t>作者：Qin Ye; Zhihui An; Sishuo Chen; Xin Long; Shuhai Xiao</w:t>
      </w:r>
    </w:p>
    <w:p>
      <w:r>
        <w:rPr>
          <w:rFonts w:ascii="Microsoft YaHei" w:hAnsi="Microsoft YaHei" w:eastAsia="Microsoft YaHei"/>
          <w:color w:val="55697D"/>
          <w:sz w:val="18"/>
        </w:rPr>
        <w:t>期刊：Communications Biology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DOI：10.1038/s42003-026-11094-y</w:t>
      </w:r>
    </w:p>
    <w:p>
      <w:r>
        <w:rPr>
          <w:rFonts w:ascii="Microsoft YaHei" w:hAnsi="Microsoft YaHei" w:eastAsia="Microsoft YaHei"/>
          <w:b/>
          <w:sz w:val="19"/>
        </w:rPr>
        <w:t>关键词：phytoplankton</w:t>
      </w:r>
    </w:p>
    <w:p>
      <w:r>
        <w:rPr>
          <w:rFonts w:ascii="Microsoft YaHei" w:hAnsi="Microsoft YaHei" w:eastAsia="Microsoft YaHei"/>
          <w:sz w:val="17"/>
        </w:rPr>
        <w:t>摘要：由于早期埃迪卡拉纪化石记录稀少且埋藏学上偏向于微化石，因此对成冰期末期马里诺冰川作用后的生物和生态动力学的了解仍然有限。在这里，我们展示了华南安仓坪剖面的一个早期埃迪卡拉纪化石组合，该组合在同一地层​​中共同保存了微化石和大型化石。它包含 17 属和 35 种原源，包括 3 个新类群和 6 种宏观碳质压缩形式。综合岩石地层学和生物地层学与已发表的天文年代学和辐射测量数据的相关性，间接将其年龄限制在大约 620-6.1 亿年前，从而早于埃迪卡拉时期迄今为止已知最古老的大型化石组合（6.02 亿年前的蓝田生物群）。 该组合包括蓝细菌、浮游植物、底栖大型藻类和可能的后生动物，表明雪球地球之后底栖生物和浮游生物同时出现。这一发现填补了时间空白，并提供了对低温纪-埃迪卡拉纪过渡期间早期埃迪卡拉生物群落的深入了解。</w:t>
      </w:r>
    </w:p>
    <w:p>
      <w:r>
        <w:rPr>
          <w:rFonts w:ascii="Microsoft YaHei" w:hAnsi="Microsoft YaHei" w:eastAsia="Microsoft YaHei"/>
          <w:color w:val="0563C1"/>
          <w:sz w:val="18"/>
        </w:rPr>
        <w:t>链接：https://doi.org/10.1038/s42003-026-11094-y</w:t>
      </w:r>
    </w:p>
    <w:p>
      <w:pPr>
        <w:pStyle w:val="Heading3"/>
      </w:pPr>
      <w:r>
        <w:rPr>
          <w:rFonts w:ascii="Microsoft YaHei" w:hAnsi="Microsoft YaHei" w:eastAsia="Microsoft YaHei"/>
          <w:b/>
        </w:rPr>
        <w:t>9. From Water Level to Storage: Evaluating Vertical Alignment and Hypsometric Constraints for SWOT-Based Reservoir Storage</w:t>
      </w:r>
    </w:p>
    <w:p>
      <w:r>
        <w:rPr>
          <w:rFonts w:ascii="Microsoft YaHei" w:hAnsi="Microsoft YaHei" w:eastAsia="Microsoft YaHei"/>
          <w:color w:val="55697D"/>
          <w:sz w:val="18"/>
        </w:rPr>
        <w:t>作者：Zhenzhen Li; Jingcheng Fu; Jine Lei; Jianwu Gong; Guangdong Wu; Li Tang</w:t>
      </w:r>
    </w:p>
    <w:p>
      <w:r>
        <w:rPr>
          <w:rFonts w:ascii="Microsoft YaHei" w:hAnsi="Microsoft YaHei" w:eastAsia="Microsoft YaHei"/>
          <w:color w:val="55697D"/>
          <w:sz w:val="18"/>
        </w:rPr>
        <w:t>期刊：Water</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DOI：10.3390/w18192462</w:t>
      </w:r>
    </w:p>
    <w:p>
      <w:r>
        <w:rPr>
          <w:rFonts w:ascii="Microsoft YaHei" w:hAnsi="Microsoft YaHei" w:eastAsia="Microsoft YaHei"/>
          <w:b/>
          <w:sz w:val="19"/>
        </w:rPr>
        <w:t>关键词：vertical structure</w:t>
      </w:r>
    </w:p>
    <w:p>
      <w:r>
        <w:rPr>
          <w:rFonts w:ascii="Microsoft YaHei" w:hAnsi="Microsoft YaHei" w:eastAsia="Microsoft YaHei"/>
          <w:sz w:val="17"/>
        </w:rPr>
        <w:t>摘要：地表水和海洋地形 (SWOT) 任务提供水库水面高程 (WSE)，但将绝对 WSE 转换为存储仍然对相对参考和测高曲线的形状敏感。在这里，我们使用具有并发原位记录的 14 个水库和两条测高曲线：GRDL（通过深度学习的全球水库数据集）和 REGEOM（几何近似）来评估特定地点的垂直对准参数和截断测高曲线的静水力约束延伸。在最大观察到的 SWOT WSE 对应于满容量的参考假设下，中位容量归一化均方根误差 (RMSE) 为 14. 9%。特定储层的全记录校准将该值降低至 2. 9%，表明有效的垂直对准是主要的敏感性。 GRDL 产生的容量归一化 RMSE 低于 REGEOM。 人工截断实验表明，约束延伸再现了表格曲线的保留部分，在测试距离上中值重建误差低于 1%。按时间顺序排列的 60/40 保留测试支持局部校准后的时间概括：对于 11 个水库，校准和验证期间的中位容量归一化 RMSE 均为 0. 026。相比之下，留一储层测试没有发现比参考假设有统计上显着的改进。因此，结果支持本地校准、采样存储检索，同时表明将单个对准参数传输到完全未计量的储层仍未解决。</w:t>
      </w:r>
    </w:p>
    <w:p>
      <w:r>
        <w:rPr>
          <w:rFonts w:ascii="Microsoft YaHei" w:hAnsi="Microsoft YaHei" w:eastAsia="Microsoft YaHei"/>
          <w:color w:val="0563C1"/>
          <w:sz w:val="18"/>
        </w:rPr>
        <w:t>链接：https://doi.org/10.3390/w18192462</w:t>
      </w:r>
    </w:p>
    <w:p>
      <w:pPr>
        <w:pStyle w:val="Heading2"/>
      </w:pPr>
      <w:r>
        <w:t>其他相关期刊：按主题相关性补充</w:t>
      </w:r>
    </w:p>
    <w:p>
      <w:pPr>
        <w:pStyle w:val="Heading3"/>
      </w:pPr>
      <w:r>
        <w:rPr>
          <w:rFonts w:ascii="Microsoft YaHei" w:hAnsi="Microsoft YaHei" w:eastAsia="Microsoft YaHei"/>
          <w:b/>
        </w:rPr>
        <w:t>10. EigenFlux: a stable multi-stream radiative transfer method for strongly scattering media</w:t>
      </w:r>
    </w:p>
    <w:p>
      <w:r>
        <w:rPr>
          <w:rFonts w:ascii="Microsoft YaHei" w:hAnsi="Microsoft YaHei" w:eastAsia="Microsoft YaHei"/>
          <w:color w:val="55697D"/>
          <w:sz w:val="18"/>
        </w:rPr>
        <w:t>作者：Daniel P. Johnson; Matthew S. Johnson</w:t>
      </w:r>
    </w:p>
    <w:p>
      <w:r>
        <w:rPr>
          <w:rFonts w:ascii="Microsoft YaHei" w:hAnsi="Microsoft YaHei" w:eastAsia="Microsoft YaHei"/>
          <w:color w:val="55697D"/>
          <w:sz w:val="18"/>
        </w:rPr>
        <w:t>期刊：Atmospheric Measurement Techniques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DOI：10.5194/amt-19-6293-2026</w:t>
      </w:r>
    </w:p>
    <w:p>
      <w:r>
        <w:rPr>
          <w:rFonts w:ascii="Microsoft YaHei" w:hAnsi="Microsoft YaHei" w:eastAsia="Microsoft YaHei"/>
          <w:b/>
          <w:sz w:val="19"/>
        </w:rPr>
        <w:t>关键词：ocean colour; ocean optics; bio-optics</w:t>
      </w:r>
    </w:p>
    <w:p>
      <w:r>
        <w:rPr>
          <w:rFonts w:ascii="Microsoft YaHei" w:hAnsi="Microsoft YaHei" w:eastAsia="Microsoft YaHei"/>
          <w:sz w:val="17"/>
        </w:rPr>
        <w:t>摘要：强散射介质中的辐射传输在计算上仍然具有挑战性，特别是对于具有高度不对称相函数和大光学深度的系统，其中传统的离散坐标方法可能会遭受数值不稳定、收敛缓慢或精度损失的困扰。我们提出了 EigenFlux，这是一种基于本征模式分解、自然反射稳定和灵活的基于网格的角度离散化的多流辐射传输框架。与以前主要依赖于全局多项式展开的方法不同，EigenFlux 允许对具有强前向散射或显着后向散射分量的相位函数进行局部分辨率，同时保持通量守恒和数值稳定性。该方法在 957 个测试用例中进行了评估，涵盖了从 g=-0 开始的不对称因素。 998867 至 g =0。 998867 和 ω =0 的单散射反照率。 0014660 至 ω =0。 9999995，包括传统求解器难以解决的极端多重散射机制。与 DISORT 的比较表明，对于大于或等于 168 的流数量，精度提高了 748 倍，执行速度提高了 10 倍。对于超过 ∣g∣&gt;0 的不对称因子，EigenFlux 保持了稳定的解决方案。 99，尽管吸收水平小于 0. 10 时稳定性较弱。特征谱分析揭示了光学厚系统（足够厚/深以使反射率达到其自然极限）中出现渐近漫传输体系以及半透明介质中的持久直射束结构。 这些结果表明，EigenFlux 为大气、雪和冰、海洋光学、颜料和涂料、遥感和图形渲染的辐射传输计算提供了一个稳定且灵活的框架，特别是在涉及极端散射不对称的情况下。</w:t>
      </w:r>
    </w:p>
    <w:p>
      <w:r>
        <w:rPr>
          <w:rFonts w:ascii="Microsoft YaHei" w:hAnsi="Microsoft YaHei" w:eastAsia="Microsoft YaHei"/>
          <w:color w:val="0563C1"/>
          <w:sz w:val="18"/>
        </w:rPr>
        <w:t>链接：https://doi.org/10.5194/amt-19-6293-2026</w:t>
      </w:r>
    </w:p>
    <w:p>
      <w:pPr>
        <w:pStyle w:val="Heading3"/>
      </w:pPr>
      <w:r>
        <w:rPr>
          <w:rFonts w:ascii="Microsoft YaHei" w:hAnsi="Microsoft YaHei" w:eastAsia="Microsoft YaHei"/>
          <w:b/>
        </w:rPr>
        <w:t>11. Multi decadal shoreline dynamics of the Gwadar coast, Pakistan: insights from DSAS and satellite remote sensing data</w:t>
      </w:r>
    </w:p>
    <w:p>
      <w:r>
        <w:rPr>
          <w:rFonts w:ascii="Microsoft YaHei" w:hAnsi="Microsoft YaHei" w:eastAsia="Microsoft YaHei"/>
          <w:color w:val="55697D"/>
          <w:sz w:val="18"/>
        </w:rPr>
        <w:t>作者：Iqra Khan; Javed Iqbal; Adnan Abbas Shah; Urooj Shakir; Junaid Aziz Khan</w:t>
      </w:r>
    </w:p>
    <w:p>
      <w:r>
        <w:rPr>
          <w:rFonts w:ascii="Microsoft YaHei" w:hAnsi="Microsoft YaHei" w:eastAsia="Microsoft YaHei"/>
          <w:color w:val="55697D"/>
          <w:sz w:val="18"/>
        </w:rPr>
        <w:t>期刊：Modeling Earth Systems and Environment</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DOI：10.1007/s40808-026-02920-7</w:t>
      </w:r>
    </w:p>
    <w:p>
      <w:r>
        <w:rPr>
          <w:rFonts w:ascii="Microsoft YaHei" w:hAnsi="Microsoft YaHei" w:eastAsia="Microsoft YaHei"/>
          <w:b/>
          <w:sz w:val="19"/>
        </w:rPr>
        <w:t>关键词：ocean colour</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链接：https://doi.org/10.1007/s40808-026-02920-7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