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7324D"/>
          <w:sz w:val="44"/>
        </w:rPr>
        <w:t>每日论文推送</w:t>
      </w:r>
    </w:p>
    <w:p>
      <w:pPr>
        <w:jc w:val="center"/>
      </w:pPr>
      <w:r>
        <w:rPr>
          <w:rFonts w:ascii="Microsoft YaHei" w:hAnsi="Microsoft YaHei" w:eastAsia="Microsoft YaHei"/>
          <w:color w:val="55697D"/>
          <w:sz w:val="19"/>
        </w:rPr>
        <w:t>检索日期：2026-10-22 | GitHub Actions 自动生成</w:t>
      </w:r>
    </w:p>
    <w:p>
      <w:pPr>
        <w:pStyle w:val="Heading1"/>
      </w:pPr>
      <w:r>
        <w:t>今日总览</w:t>
      </w:r>
    </w:p>
    <w:p>
      <w:r>
        <w:rPr>
          <w:rFonts w:ascii="Microsoft YaHei" w:hAnsi="Microsoft YaHei" w:eastAsia="Microsoft YaHei"/>
        </w:rPr>
        <w:t>历史去重后今日新增 7 篇。排序规则：Nature 系列、Science 系列、其余重点期刊、重点关注团队、其他相关补充论文。</w:t>
      </w:r>
    </w:p>
    <w:p>
      <w:pPr>
        <w:pStyle w:val="Heading1"/>
      </w:pPr>
      <w:r>
        <w:t>论文速读</w:t>
      </w:r>
    </w:p>
    <w:p>
      <w:pPr>
        <w:pStyle w:val="Heading2"/>
      </w:pPr>
      <w:r>
        <w:t>重点期刊：按影响力和相关性排序</w:t>
      </w:r>
    </w:p>
    <w:p>
      <w:pPr>
        <w:pStyle w:val="Heading3"/>
      </w:pPr>
      <w:r>
        <w:rPr>
          <w:rFonts w:ascii="Microsoft YaHei" w:hAnsi="Microsoft YaHei" w:eastAsia="Microsoft YaHei"/>
          <w:b/>
        </w:rPr>
        <w:t>1. Warming since the Last Glacial Maximum amplifies Northern Hemisphere drought expansion driven by the Pacific Decadal Oscillation</w:t>
      </w:r>
    </w:p>
    <w:p>
      <w:r>
        <w:rPr>
          <w:rFonts w:ascii="Microsoft YaHei" w:hAnsi="Microsoft YaHei" w:eastAsia="Microsoft YaHei"/>
          <w:color w:val="55697D"/>
          <w:sz w:val="18"/>
        </w:rPr>
        <w:t>作者：Chao Zhang; Anmin Duan; Mingqiang Liang; Shutao Cao; Yuxin Xie; Aiguo Dai</w:t>
      </w:r>
    </w:p>
    <w:p>
      <w:r>
        <w:rPr>
          <w:rFonts w:ascii="Microsoft YaHei" w:hAnsi="Microsoft YaHei" w:eastAsia="Microsoft YaHei"/>
          <w:color w:val="55697D"/>
          <w:sz w:val="18"/>
        </w:rPr>
        <w:t>期刊：Communications Earth &amp; Environment</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DOI：10.1038/s43247-026-04186-4</w:t>
      </w:r>
    </w:p>
    <w:p>
      <w:r>
        <w:rPr>
          <w:rFonts w:ascii="Microsoft YaHei" w:hAnsi="Microsoft YaHei" w:eastAsia="Microsoft YaHei"/>
          <w:b/>
          <w:sz w:val="19"/>
        </w:rPr>
        <w:t>关键词：ocean biogeochemistry</w:t>
      </w:r>
    </w:p>
    <w:p>
      <w:r>
        <w:rPr>
          <w:rFonts w:ascii="Microsoft YaHei" w:hAnsi="Microsoft YaHei" w:eastAsia="Microsoft YaHei"/>
          <w:sz w:val="17"/>
        </w:rPr>
        <w:t>摘要：Crossref 未提供该 DOI 的摘要。</w:t>
      </w:r>
    </w:p>
    <w:p>
      <w:r>
        <w:rPr>
          <w:rFonts w:ascii="Microsoft YaHei" w:hAnsi="Microsoft YaHei" w:eastAsia="Microsoft YaHei"/>
          <w:color w:val="0563C1"/>
          <w:sz w:val="18"/>
        </w:rPr>
        <w:t>链接：https://doi.org/10.1038/s43247-026-04186-4</w:t>
      </w:r>
    </w:p>
    <w:p>
      <w:pPr>
        <w:pStyle w:val="Heading3"/>
      </w:pPr>
      <w:r>
        <w:rPr>
          <w:rFonts w:ascii="Microsoft YaHei" w:hAnsi="Microsoft YaHei" w:eastAsia="Microsoft YaHei"/>
          <w:b/>
        </w:rPr>
        <w:t>2. Trends and drivers of recent oxygenation in the Indian Sector of the Southern Ocean</w:t>
      </w:r>
    </w:p>
    <w:p>
      <w:r>
        <w:rPr>
          <w:rFonts w:ascii="Microsoft YaHei" w:hAnsi="Microsoft YaHei" w:eastAsia="Microsoft YaHei"/>
          <w:color w:val="55697D"/>
          <w:sz w:val="18"/>
        </w:rPr>
        <w:t>作者：VISHNU NNS; Sabu P; A R Anantha Krishnan; Soumyadeep Dutta; Sidhesh Gajanan Borker; E Sreevidya; Rahul Mohan</w:t>
      </w:r>
    </w:p>
    <w:p>
      <w:r>
        <w:rPr>
          <w:rFonts w:ascii="Microsoft YaHei" w:hAnsi="Microsoft YaHei" w:eastAsia="Microsoft YaHei"/>
          <w:color w:val="55697D"/>
          <w:sz w:val="18"/>
        </w:rPr>
        <w:t>期刊：Environmental Research Letters</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DOI：10.1088/1748-9326/aeb70f</w:t>
      </w:r>
    </w:p>
    <w:p>
      <w:r>
        <w:rPr>
          <w:rFonts w:ascii="Microsoft YaHei" w:hAnsi="Microsoft YaHei" w:eastAsia="Microsoft YaHei"/>
          <w:b/>
          <w:sz w:val="19"/>
        </w:rPr>
        <w:t>关键词：ocean biogeochemistry</w:t>
      </w:r>
    </w:p>
    <w:p>
      <w:r>
        <w:rPr>
          <w:rFonts w:ascii="Microsoft YaHei" w:hAnsi="Microsoft YaHei" w:eastAsia="Microsoft YaHei"/>
          <w:sz w:val="17"/>
        </w:rPr>
        <w:t>摘要：将 2011 年和 2025 年南方夏季的现场观测与卫星和再分析数据（1993-2025 年）相结合，我们记录了整个南大洋印度区 (ISSO) 的显着氧化作用，其中极地 (PZ) 和南极区 (AZ) 的趋势最强。沿 57. 5°E 的观测表明，与 2011 年相比，2025 年溶解氧 (DO) 升高，冬季水 (WW) 层向极地退缩，最低含氧层部分浅滩。变暖和盐化的综合效应削弱了层结，促进了环极深水 (CDW) 浅滩，从而增强了通风和氧合。表观耗氧量 (AOU) 下降与通气增强一致，而不是溶解度变化，这是主要机制。 氧化范围从南极地表水（AASW）和WW到亚南极模式水（SAMW）、南极中层水（AAIW）和CDW再到南极底水（AABW），表明整个流域的通风重组。这些发现与广泛的全球海洋缺氧形成鲜明对比，并强调了南大洋通风对于全球海洋氧气库存的重要性。</w:t>
      </w:r>
    </w:p>
    <w:p>
      <w:r>
        <w:rPr>
          <w:rFonts w:ascii="Microsoft YaHei" w:hAnsi="Microsoft YaHei" w:eastAsia="Microsoft YaHei"/>
          <w:color w:val="0563C1"/>
          <w:sz w:val="18"/>
        </w:rPr>
        <w:t>链接：https://doi.org/10.1088/1748-9326/aeb70f</w:t>
      </w:r>
    </w:p>
    <w:p>
      <w:pPr>
        <w:pStyle w:val="Heading3"/>
      </w:pPr>
      <w:r>
        <w:rPr>
          <w:rFonts w:ascii="Microsoft YaHei" w:hAnsi="Microsoft YaHei" w:eastAsia="Microsoft YaHei"/>
          <w:b/>
        </w:rPr>
        <w:t>3. In Subtropical Western North Pacific Typhoons, Prior Along‐Track Marine Heatwave Contact Is Associated With Rapid Intensification</w:t>
      </w:r>
    </w:p>
    <w:p>
      <w:r>
        <w:rPr>
          <w:rFonts w:ascii="Microsoft YaHei" w:hAnsi="Microsoft YaHei" w:eastAsia="Microsoft YaHei"/>
          <w:color w:val="55697D"/>
          <w:sz w:val="18"/>
        </w:rPr>
        <w:t>作者：Ahmed Eladawy; Haruka Nishikawa; Hiromichi Igarashi</w:t>
      </w:r>
    </w:p>
    <w:p>
      <w:r>
        <w:rPr>
          <w:rFonts w:ascii="Microsoft YaHei" w:hAnsi="Microsoft YaHei" w:eastAsia="Microsoft YaHei"/>
          <w:color w:val="55697D"/>
          <w:sz w:val="18"/>
        </w:rPr>
        <w:t>期刊：Journal of Geophysical Research: Oceans</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DOI：10.1029/2026jc024596</w:t>
      </w:r>
    </w:p>
    <w:p>
      <w:r>
        <w:rPr>
          <w:rFonts w:ascii="Microsoft YaHei" w:hAnsi="Microsoft YaHei" w:eastAsia="Microsoft YaHei"/>
          <w:b/>
          <w:sz w:val="19"/>
        </w:rPr>
        <w:t>关键词：marine heatwaves</w:t>
      </w:r>
    </w:p>
    <w:p>
      <w:r>
        <w:rPr>
          <w:rFonts w:ascii="Microsoft YaHei" w:hAnsi="Microsoft YaHei" w:eastAsia="Microsoft YaHei"/>
          <w:sz w:val="17"/>
        </w:rPr>
        <w:t>摘要：1982-2002年和2003-2023年间，北太平洋副热带地区每年的海洋热浪（MHW）天数增加了两倍多。先前的研究主要检查并发的 MHW 条件，通常使用较粗分辨率的海面温度 (SST) 分析。在快速增强之前（RI，24 小时增强 30 节）之前，人们对沿个别风暴路径早期暴露的 MHW 的关注较少。使用风暴特定的锚点，我们将数字台风轨迹与更长记录和更高分辨率的每日海表温度分析相匹配。在较长的记录中，RI 发生在 9. 09% 先前接触过的风暴中，3. 52% 没有接触过的风暴中。考虑到风暴强度、运动、持续时间、发生位置、年份和季节后，调整后的优势比为 2. 72。在更高分辨率的分析中，RI 发生在先前接触过的风暴中，占 12. 24%，没有接触过的风暴占 4. 59%，调整后的比值比为 3. 36。 在环境控制后以及跨 RI 阈值和测深灵敏度时，这种关联仍然保持正向，但在低纬度子域中较弱且统计上不确定。在先前接触过的 RI 风暴中，较长记录分析中的最大 MHW 事件持续时间中位数为 25. 5 天，高分辨率分析中为 17 天，而累积风暴接触时间中位数分别持续了 14. 5 和 7 小时。首次接触发生在 RI 之前，平均时间为 38-42 小时。去趋势和移动基线的 MHW 定义给出了较弱、不确定的估计值 1. 84 和 1. 51。在这两项分析中，RI 概率在先前 MHW 接触后最高，而遇到不符合 MHW 标准的正海表温度异常的风暴与中性条件的差异不太一致。</w:t>
      </w:r>
    </w:p>
    <w:p>
      <w:r>
        <w:rPr>
          <w:rFonts w:ascii="Microsoft YaHei" w:hAnsi="Microsoft YaHei" w:eastAsia="Microsoft YaHei"/>
          <w:color w:val="0563C1"/>
          <w:sz w:val="18"/>
        </w:rPr>
        <w:t>链接：https://doi.org/10.1029/2026jc024596</w:t>
      </w:r>
    </w:p>
    <w:p>
      <w:pPr>
        <w:pStyle w:val="Heading3"/>
      </w:pPr>
      <w:r>
        <w:rPr>
          <w:rFonts w:ascii="Microsoft YaHei" w:hAnsi="Microsoft YaHei" w:eastAsia="Microsoft YaHei"/>
          <w:b/>
        </w:rPr>
        <w:t>4. Synoptic Wind‐Dependent Sampling Asymmetry Biases Satellite Sea Surface Chlorophyll‐a in the Mid‐to‐High‐Latitude North Pacific and North Atlantic</w:t>
      </w:r>
    </w:p>
    <w:p>
      <w:r>
        <w:rPr>
          <w:rFonts w:ascii="Microsoft YaHei" w:hAnsi="Microsoft YaHei" w:eastAsia="Microsoft YaHei"/>
          <w:color w:val="55697D"/>
          <w:sz w:val="18"/>
        </w:rPr>
        <w:t>作者：Qixiang Wang; Zhaohui Chen; Chao Zhang; Xiaogang Xing; Haihong Guo; Haiyuan Yang; Dapeng Li; Wenju Cai</w:t>
      </w:r>
    </w:p>
    <w:p>
      <w:r>
        <w:rPr>
          <w:rFonts w:ascii="Microsoft YaHei" w:hAnsi="Microsoft YaHei" w:eastAsia="Microsoft YaHei"/>
          <w:color w:val="55697D"/>
          <w:sz w:val="18"/>
        </w:rPr>
        <w:t>期刊：Journal of Geophysical Research: Oceans</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DOI：10.1029/2026jc024739</w:t>
      </w:r>
    </w:p>
    <w:p>
      <w:r>
        <w:rPr>
          <w:rFonts w:ascii="Microsoft YaHei" w:hAnsi="Microsoft YaHei" w:eastAsia="Microsoft YaHei"/>
          <w:b/>
          <w:sz w:val="19"/>
        </w:rPr>
        <w:t>关键词：phytoplankton</w:t>
      </w:r>
    </w:p>
    <w:p>
      <w:r>
        <w:rPr>
          <w:rFonts w:ascii="Microsoft YaHei" w:hAnsi="Microsoft YaHei" w:eastAsia="Microsoft YaHei"/>
          <w:sz w:val="17"/>
        </w:rPr>
        <w:t>摘要：海面叶绿素a浓度（SChl）的卫星观测为解释海洋生产力和上层海洋生物地球化学变异性提供了盆地尺度的记录。然而，云和其他观测限制在 SChl 反演中造成了差距，这可能会使 SChl 记录产生偏差，特别是在云多发的中高纬度海洋中。在这里，我们使用 2010 年至 2019 年的卫星 SChl 数据来量化与天气尺度风速条件相关的采样偏差。冬季，与低风速条件相比，高风速条件往往云量更大，有效反演的 SChl 较少。同时，北大西洋和北太平洋中高纬度地区高风速条件下观测到的 SChl 普遍较低。总之，这些差异意味着 SChl 向上。 偏差最大出现在冬季，环流平均 SChl 偏差约为 1. 4%，局部值超过 10%。由此产生的 SChl 偏差也会传播到基于卫星的海洋生产力估计中。</w:t>
      </w:r>
    </w:p>
    <w:p>
      <w:r>
        <w:rPr>
          <w:rFonts w:ascii="Microsoft YaHei" w:hAnsi="Microsoft YaHei" w:eastAsia="Microsoft YaHei"/>
          <w:color w:val="0563C1"/>
          <w:sz w:val="18"/>
        </w:rPr>
        <w:t>链接：https://doi.org/10.1029/2026jc024739</w:t>
      </w:r>
    </w:p>
    <w:p>
      <w:pPr>
        <w:pStyle w:val="Heading3"/>
      </w:pPr>
      <w:r>
        <w:rPr>
          <w:rFonts w:ascii="Microsoft YaHei" w:hAnsi="Microsoft YaHei" w:eastAsia="Microsoft YaHei"/>
          <w:b/>
        </w:rPr>
        <w:t>5. Mesoscale Eddy - Internal Wave Coupling. III. The End of the Enstrophy Cascade and Maintenance of Gyre Scale Potential Vorticity Gradients</w:t>
      </w:r>
    </w:p>
    <w:p>
      <w:r>
        <w:rPr>
          <w:rFonts w:ascii="Microsoft YaHei" w:hAnsi="Microsoft YaHei" w:eastAsia="Microsoft YaHei"/>
          <w:color w:val="55697D"/>
          <w:sz w:val="18"/>
        </w:rPr>
        <w:t>作者：Kurt L. Polzin; Giovanni Dematteis</w:t>
      </w:r>
    </w:p>
    <w:p>
      <w:r>
        <w:rPr>
          <w:rFonts w:ascii="Microsoft YaHei" w:hAnsi="Microsoft YaHei" w:eastAsia="Microsoft YaHei"/>
          <w:color w:val="55697D"/>
          <w:sz w:val="18"/>
        </w:rPr>
        <w:t>期刊：Oceanography</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DOI：10.1175/jpo-d-25-0138.1</w:t>
      </w:r>
    </w:p>
    <w:p>
      <w:r>
        <w:rPr>
          <w:rFonts w:ascii="Microsoft YaHei" w:hAnsi="Microsoft YaHei" w:eastAsia="Microsoft YaHei"/>
          <w:b/>
          <w:sz w:val="19"/>
        </w:rPr>
        <w:t>关键词：vertical structure</w:t>
      </w:r>
    </w:p>
    <w:p>
      <w:r>
        <w:rPr>
          <w:rFonts w:ascii="Microsoft YaHei" w:hAnsi="Microsoft YaHei" w:eastAsia="Microsoft YaHei"/>
          <w:sz w:val="17"/>
        </w:rPr>
        <w:t>摘要：我们评估了与中尺度涡流和内部波场之间的能量交换有关的三重相干性的预测公式，并与马尾藻海的观测结果进行了比较。这项工作涉及对 Müller (1976) 中阐述的理论的更新，该理论使用弛豫时间尺度近似来平衡涡流引起的波场扰动与非线性。预测公式与数据的一致性非常显着，并且与主导区域内波能量收支的涡波耦合一致。这项工作的好处强化了先前的假设，即马尾藻海内部波场的特征是由这种相互作用决定的，而这种相互作用反过来又充当了来自较大垂直尺度的三次能量输入的放大器，这些垂直尺度表征了内部涌浪。 涡能量的提取发生在水平和垂直尺度上，其表征了斜压不稳定性和位涡通量。有了这些知识和信心，我们就可以推测这种耦合对墨西哥湾流南部环流中尺度涡动力学的作用。我们认为，这种非线性松弛有效地提供了与局部动力学实验中的位涡通量观测结果一致的局部涡熵阻尼。这种情况发生在略小于能量提取尺度的空间尺度上，并将谱域中势熵级联的末端定位为内部波场的能量包含尺度。动力学结果是中尺度涡-内波耦合负责维持环流尺度位涡梯度。</w:t>
      </w:r>
    </w:p>
    <w:p>
      <w:r>
        <w:rPr>
          <w:rFonts w:ascii="Microsoft YaHei" w:hAnsi="Microsoft YaHei" w:eastAsia="Microsoft YaHei"/>
          <w:color w:val="0563C1"/>
          <w:sz w:val="18"/>
        </w:rPr>
        <w:t>链接：https://doi.org/10.1175/jpo-d-25-0138.1</w:t>
      </w:r>
    </w:p>
    <w:p>
      <w:pPr>
        <w:pStyle w:val="Heading2"/>
      </w:pPr>
      <w:r>
        <w:t>重点关注团队</w:t>
      </w:r>
    </w:p>
    <w:p>
      <w:pPr>
        <w:pStyle w:val="Heading3"/>
      </w:pPr>
      <w:r>
        <w:rPr>
          <w:rFonts w:ascii="Microsoft YaHei" w:hAnsi="Microsoft YaHei" w:eastAsia="Microsoft YaHei"/>
          <w:b/>
        </w:rPr>
        <w:t>6. Parallel-coupled straight-tube Helmholtz resonators for broadband lowfrequency underwater sound absorption</w:t>
      </w:r>
    </w:p>
    <w:p>
      <w:r>
        <w:rPr>
          <w:rFonts w:ascii="Microsoft YaHei" w:hAnsi="Microsoft YaHei" w:eastAsia="Microsoft YaHei"/>
          <w:color w:val="55697D"/>
          <w:sz w:val="18"/>
        </w:rPr>
        <w:t>作者：Zhicheng Xu; Wencong Zhang; Guorong Cui; Xiaohua Yang; Jiabin Hou; Qiuyu Zeng</w:t>
      </w:r>
    </w:p>
    <w:p>
      <w:r>
        <w:rPr>
          <w:rFonts w:ascii="Microsoft YaHei" w:hAnsi="Microsoft YaHei" w:eastAsia="Microsoft YaHei"/>
          <w:color w:val="55697D"/>
          <w:sz w:val="18"/>
        </w:rPr>
        <w:t>期刊：Physica Scripta</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DOI：10.1088/1402-4896/aeb736</w:t>
      </w:r>
    </w:p>
    <w:p>
      <w:r>
        <w:rPr>
          <w:rFonts w:ascii="Microsoft YaHei" w:hAnsi="Microsoft YaHei" w:eastAsia="Microsoft YaHei"/>
          <w:b/>
          <w:sz w:val="19"/>
        </w:rPr>
        <w:t>关键词：absorption</w:t>
      </w:r>
    </w:p>
    <w:p>
      <w:r>
        <w:rPr>
          <w:rFonts w:ascii="Microsoft YaHei" w:hAnsi="Microsoft YaHei" w:eastAsia="Microsoft YaHei"/>
          <w:sz w:val="17"/>
        </w:rPr>
        <w:t>摘要：传统的吸声材料面临着结构厚度和质量定律所施加的压力阻力之间的权衡。为了解决这个问题，本文提出了一种基于直管亥姆霍兹谐振器（STHR）的水声超材料，可在深亚波长尺度上高效吸收低频声音。首先，采用电声类比方法建立了STHR的理论阻抗模型，揭示了直管颈粘性耗散和橡胶层粘弹性耗散产生的协同声能耗散机制。参数分析进一步阐明了颈部直径、颈部长度和橡胶层厚度对共振频率调节和吸声性能变化模式的影响。 基于单电池参数分析的结果，19个具有不同谐振特性的STHR单元被组合成并联耦合配置。采用频率分配策略，构建了宽带复合吸声超材料，实现了高效吸声，在260 - 987 Hz范围内吸声系数高于0. 8。在大气压下，理论和数值结果吻合较好，并且在主频率范围内实验结果与理论和数值结果一致。高静水压下的进一步实验表明，10 MPa 时平均吸声系数仍保持在 0. 6537。高静水压下的进一步实验表明，平均吸声系数保持为0。 10 MPa 下的 6537，表明该结构在高压条件下仍保持稳定的宽带吸声性能。该研究为设计深海应用的超薄低频水下吸声材料提供了新的方法和实验基础。</w:t>
      </w:r>
    </w:p>
    <w:p>
      <w:r>
        <w:rPr>
          <w:rFonts w:ascii="Microsoft YaHei" w:hAnsi="Microsoft YaHei" w:eastAsia="Microsoft YaHei"/>
          <w:color w:val="0563C1"/>
          <w:sz w:val="18"/>
        </w:rPr>
        <w:t>链接：https://doi.org/10.1088/1402-4896/aeb736</w:t>
      </w:r>
    </w:p>
    <w:p>
      <w:pPr>
        <w:pStyle w:val="Heading3"/>
      </w:pPr>
      <w:r>
        <w:rPr>
          <w:rFonts w:ascii="Microsoft YaHei" w:hAnsi="Microsoft YaHei" w:eastAsia="Microsoft YaHei"/>
          <w:b/>
        </w:rPr>
        <w:t>7. Structural Reorganization of Water Use Efficiency Drivers in the Hanjiang River Basin Under the South-to-North Water Diversion: Spatiotemporal Deep Learning and Pixel-Level Attribution</w:t>
      </w:r>
    </w:p>
    <w:p>
      <w:r>
        <w:rPr>
          <w:rFonts w:ascii="Microsoft YaHei" w:hAnsi="Microsoft YaHei" w:eastAsia="Microsoft YaHei"/>
          <w:color w:val="55697D"/>
          <w:sz w:val="18"/>
        </w:rPr>
        <w:t>作者：Xuepeng Zhang; Haoxuan Jin; Zhe Wang; Yingying Zhang</w:t>
      </w:r>
    </w:p>
    <w:p>
      <w:r>
        <w:rPr>
          <w:rFonts w:ascii="Microsoft YaHei" w:hAnsi="Microsoft YaHei" w:eastAsia="Microsoft YaHei"/>
          <w:color w:val="55697D"/>
          <w:sz w:val="18"/>
        </w:rPr>
        <w:t>期刊：Water</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DOI：10.3390/w18202617</w:t>
      </w:r>
    </w:p>
    <w:p>
      <w:r>
        <w:rPr>
          <w:rFonts w:ascii="Microsoft YaHei" w:hAnsi="Microsoft YaHei" w:eastAsia="Microsoft YaHei"/>
          <w:b/>
          <w:sz w:val="19"/>
        </w:rPr>
        <w:t>关键词：ocean colour</w:t>
      </w:r>
    </w:p>
    <w:p>
      <w:r>
        <w:rPr>
          <w:rFonts w:ascii="Microsoft YaHei" w:hAnsi="Microsoft YaHei" w:eastAsia="Microsoft YaHei"/>
          <w:sz w:val="17"/>
        </w:rPr>
        <w:t>摘要：跨流域调水通过改变水文和土地利用来重塑水利用效率 (WUE)，但调水后 WUE 的变化和驱动力重组仍然缺乏量化。以汉江流域（南水北调水源地）为中心，我们采用了带有积分梯度的卷积门控循环单元（ConvGRU）深度学习模型，利用气象和多源遥感数据量化了2000年至2024年九个驱动因素对WUE的像素尺度时空贡献。结果显示 (1) 2000 年至 2024 年期间，全流域 WUE 有所增加，但改道后增长急剧下降（0. 0184 至 0. 0045 yr−1），河道衰退推动了这种减速。 （2）温度和植被土地覆盖类型是最强的抑制驱动因素，耕地和水汽压是最强的促进驱动因素；改道后，kNDVI 的归因增幅最大（+0. 14），驱动力重心从气候因素转向植被和土地利用因素。 (3)全流域有42. 26%的地区发生了主导驱动力转换,其中上游地区重组最为强烈;耕地主导面积从26. 28%上升到29. 24%，kNDVI从9. 09%上升到16. 64%近一倍，其扩张同时吸收了温度、辐射、耕地和植被类型的主导地位，形成“多源汇聚”的重组格局。多个基线方案的敏感性分析证实了归因结论的稳健性。 这些发现为汉江流域南水北调下的生态和农业用水管理提供了信息。</w:t>
      </w:r>
    </w:p>
    <w:p>
      <w:r>
        <w:rPr>
          <w:rFonts w:ascii="Microsoft YaHei" w:hAnsi="Microsoft YaHei" w:eastAsia="Microsoft YaHei"/>
          <w:color w:val="0563C1"/>
          <w:sz w:val="18"/>
        </w:rPr>
        <w:t>链接：https://doi.org/10.3390/w18202617</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