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检索日期：2026-08-15 | GitHub Actions 自动生成</w:t>
      </w:r>
    </w:p>
    <w:p>
      <w:pPr>
        <w:pStyle w:val="Heading1"/>
      </w:pPr>
      <w:r>
        <w:t>今日总览</w:t>
      </w:r>
    </w:p>
    <w:p>
      <w:r>
        <w:rPr>
          <w:rFonts w:ascii="Microsoft YaHei" w:hAnsi="Microsoft YaHei" w:eastAsia="Microsoft YaHei"/>
        </w:rPr>
        <w:t>历史去重后今日新增 9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Marine Heatwaves Overwhelm the Buffering Benefits of Marine Protected Areas: Two Decades of Collapse in a Mediterranean Gorgonian</w:t>
      </w:r>
    </w:p>
    <w:p>
      <w:r>
        <w:rPr>
          <w:rFonts w:ascii="Microsoft YaHei" w:hAnsi="Microsoft YaHei" w:eastAsia="Microsoft YaHei"/>
          <w:color w:val="55697D"/>
          <w:sz w:val="18"/>
        </w:rPr>
        <w:t>作者：Yanis Zentner; Joaquim Garrabou; Pol Capdevila; Daniel Gómez‐Gras; Graciel·la Rovira; Alba Medrano; Frederic Zuberer; Jean‐Baptiste Ledoux; et al.</w:t>
      </w:r>
    </w:p>
    <w:p>
      <w:r>
        <w:rPr>
          <w:rFonts w:ascii="Microsoft YaHei" w:hAnsi="Microsoft YaHei" w:eastAsia="Microsoft YaHei"/>
          <w:color w:val="55697D"/>
          <w:sz w:val="18"/>
        </w:rPr>
        <w:t>期刊：Global Change Biology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DOI：10.1111/gcb.71052</w:t>
      </w:r>
    </w:p>
    <w:p>
      <w:r>
        <w:rPr>
          <w:rFonts w:ascii="Microsoft YaHei" w:hAnsi="Microsoft YaHei" w:eastAsia="Microsoft YaHei"/>
          <w:b/>
          <w:sz w:val="19"/>
        </w:rPr>
        <w:t>关键词：marine heatwaves</w:t>
      </w:r>
    </w:p>
    <w:p>
      <w:r>
        <w:rPr>
          <w:rFonts w:ascii="Microsoft YaHei" w:hAnsi="Microsoft YaHei" w:eastAsia="Microsoft YaHei"/>
          <w:sz w:val="17"/>
        </w:rPr>
        <w:t>摘要：海洋热浪 (MHW) 正在导致全球沿海基础物种大量死亡，威胁着它们的生存及其支持的生态系统。然而，关于这些影响在区域范围内的长期人口证据却很少。因此，正在进行的保护行动（主要是海洋保护区（MPA））能否减轻 MHW 的影响仍然是一个悬而未决的问题。在这里，我们通过分析 20 多年来来自 49 个浅水区（Paramuricea clavata）的人口监测数据以及地中海西北部（北纬 38°–43°，东经 0°–8°）的现场温度记录来解决这些差距。利用分层贝叶斯模型，我们估计了区域尺度趋势，并评估了 MHW 暴露和保护状态的综合影响。 我们发现，日益频繁的极端热事件导致了广泛的大规模死亡，导致过去二十年区域范围内的生物量中值下降了 45%。在这种广泛下降的背景下，尽管受保护的种群经历了更大的绝对损失，但保护通过维持较高的总体生物量暂时缓冲了MHW的影响。总而言之，这些发现表明，仅靠地方保护无法抵消气候导致的死亡率，并强调迫切需要将保护措施与全球气候行动结合起来，以保护浅海生态系统。</w:t>
      </w:r>
    </w:p>
    <w:p>
      <w:r>
        <w:rPr>
          <w:rFonts w:ascii="Microsoft YaHei" w:hAnsi="Microsoft YaHei" w:eastAsia="Microsoft YaHei"/>
          <w:color w:val="0563C1"/>
          <w:sz w:val="18"/>
        </w:rPr>
        <w:t>链接：https://doi.org/10.1111/gcb.71052</w:t>
      </w:r>
    </w:p>
    <w:p>
      <w:pPr>
        <w:pStyle w:val="Heading3"/>
      </w:pPr>
      <w:r>
        <w:rPr>
          <w:rFonts w:ascii="Microsoft YaHei" w:hAnsi="Microsoft YaHei" w:eastAsia="Microsoft YaHei"/>
          <w:b/>
        </w:rPr>
        <w:t>2. Flow cytometric phytoplankton concentration and optical properties across instruments and laboratories</w:t>
      </w:r>
    </w:p>
    <w:p>
      <w:r>
        <w:rPr>
          <w:rFonts w:ascii="Microsoft YaHei" w:hAnsi="Microsoft YaHei" w:eastAsia="Microsoft YaHei"/>
          <w:color w:val="55697D"/>
          <w:sz w:val="18"/>
        </w:rPr>
        <w:t>作者：Francois Ribalet; Anne W. Thompson; E. Virginia Armbrust; Raffaella Casotti; Josep M. Gasol; Emily Peacock; Massimo C. Pernice; Nicole J. Poulton; et al.</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DOI：10.1002/lom3.70085</w:t>
      </w:r>
    </w:p>
    <w:p>
      <w:r>
        <w:rPr>
          <w:rFonts w:ascii="Microsoft YaHei" w:hAnsi="Microsoft YaHei" w:eastAsia="Microsoft YaHei"/>
          <w:b/>
          <w:sz w:val="19"/>
        </w:rPr>
        <w:t>关键词：phytoplankton; bio-optics</w:t>
      </w:r>
    </w:p>
    <w:p>
      <w:r>
        <w:rPr>
          <w:rFonts w:ascii="Microsoft YaHei" w:hAnsi="Microsoft YaHei" w:eastAsia="Microsoft YaHei"/>
          <w:sz w:val="17"/>
        </w:rPr>
        <w:t>摘要：流式细胞术测量单个细胞的光学特性，对于计数和表征海洋浮游植物至关重要。然而，跨仪器测量的系统比较仍然有限，阻碍了跨实验室和长期时间序列的数据比较。在这里，我们使用了来自 7 个制造商的 10 台流式细胞仪来分析聚苯乙烯珠、培养浮游植物和天然浮游植物的种群浓度和光学特性。流式细胞仪中的光散射信号变化超过两个数量级，反映了光学设计和检测器灵敏度的差异。光散射校准减少了这种变异性，在某些情况下将变异系数从近 100% 降低到 15% 以下，尽管仪器间仍然存在微小差异。 尽管进行了这些光学校正，但不同仪器的浓度测量结果差异很大，变异系数范围为 10% 至 133%，这可能会掩盖浮游植物分布中的生态信号。群体门控对这种变异性的贡献很小，专家和新手用户之间没有显着差异（方差分析，F p &gt; 0. 99）。在实验室培养物和现场样品中，原绿球藻浓度变异性最高（CV = 56%），聚球藻浓度变异性最低（CV = 20%）。方差分解将约 80% 的浓度变异性归因于硬件特性，包括光学设计、探测器灵敏度和体积测量方法。这些发现表明，虽然可以通过校准来标准化光学特性，但仪器差异仍然主导着浓度估计的不确定性。 通过用于光学和浓度测量的共享校准工具，海洋流式细胞术可以实现浮游植物光学特性和丰度的全球长期综合所需的一致性。</w:t>
      </w:r>
    </w:p>
    <w:p>
      <w:r>
        <w:rPr>
          <w:rFonts w:ascii="Microsoft YaHei" w:hAnsi="Microsoft YaHei" w:eastAsia="Microsoft YaHei"/>
          <w:color w:val="0563C1"/>
          <w:sz w:val="18"/>
        </w:rPr>
        <w:t>链接：https://doi.org/10.1002/lom3.70085</w:t>
      </w:r>
    </w:p>
    <w:p>
      <w:pPr>
        <w:pStyle w:val="Heading3"/>
      </w:pPr>
      <w:r>
        <w:rPr>
          <w:rFonts w:ascii="Microsoft YaHei" w:hAnsi="Microsoft YaHei" w:eastAsia="Microsoft YaHei"/>
          <w:b/>
        </w:rPr>
        <w:t>3. Beyond corals: unveiling the ecological roles of macroalgae in the Red Sea - a review</w:t>
      </w:r>
    </w:p>
    <w:p>
      <w:r>
        <w:rPr>
          <w:rFonts w:ascii="Microsoft YaHei" w:hAnsi="Microsoft YaHei" w:eastAsia="Microsoft YaHei"/>
          <w:color w:val="55697D"/>
          <w:sz w:val="18"/>
        </w:rPr>
        <w:t>作者：Nahlah A. Alsuwaiyan</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DOI：10.3389/fmars.2026.1849782</w:t>
      </w:r>
    </w:p>
    <w:p>
      <w:r>
        <w:rPr>
          <w:rFonts w:ascii="Microsoft YaHei" w:hAnsi="Microsoft YaHei" w:eastAsia="Microsoft YaHei"/>
          <w:b/>
          <w:sz w:val="19"/>
        </w:rPr>
        <w:t>关键词：microbial carbon</w:t>
      </w:r>
    </w:p>
    <w:p>
      <w:r>
        <w:rPr>
          <w:rFonts w:ascii="Microsoft YaHei" w:hAnsi="Microsoft YaHei" w:eastAsia="Microsoft YaHei"/>
          <w:sz w:val="17"/>
        </w:rPr>
        <w:t>摘要：大型藻类是沿海和珊瑚礁相关海洋生态系统的基本组成部分，它们作为主要的底栖初级生产者，在维持生态系统结构和功能方面发挥着关键作用。通过光合作用，大型藻类通过食草直接支持海洋食物网，并通过碎屑和溶解有机物途径间接支持海洋食物网。除了其营养重要性外，大型藻类还充当栖息地形成者和生态系统工程师，增加了结构的复杂性，并为各种鱼类和无脊椎动物提供庇护所和苗圃。这些属性使大型藻类成为全球沿海生产力和生物多样性最重要的驱动因素之一。 由于红海的极端环境条件，包括持续高温、盐度升高、蒸发速率快和普遍贫营养水域，红海为研究大型藻类的作用提供了独特的生态环境。温度和养分有效性的明显空间梯度进一步影响整个流域的大型藻类分布、多样性和生产力。尽管红海被全球公认为生物多样性热点地区，特别是珊瑚礁，但该地区的大型藻类群落的研究相对较少。本综述综合了红海大型藻类生态作用的最新知识，重点关注它们对初级生产和碳循环、栖息地形成和结构复杂性、养分吸收和循环以及沿海栖息地内部和之间的营养相互作用的贡献。 还强调了大型藻类作为环境变化和沿海退化生物指示剂的作用，强调它们与生态系统监测和管理的相关性。主要研究差距包括对大型藻类群落的长期监测有限，对极端红海条件的生理反应了解不足，以及缺乏量化生物量、碳通量和营养联系的标准化方法。解决这些差距对于改善基于生态系统的管理和增进对红海大型藻类生态的了解至关重要。</w:t>
      </w:r>
    </w:p>
    <w:p>
      <w:r>
        <w:rPr>
          <w:rFonts w:ascii="Microsoft YaHei" w:hAnsi="Microsoft YaHei" w:eastAsia="Microsoft YaHei"/>
          <w:color w:val="0563C1"/>
          <w:sz w:val="18"/>
        </w:rPr>
        <w:t>链接：https://doi.org/10.3389/fmars.2026.1849782</w:t>
      </w:r>
    </w:p>
    <w:p>
      <w:pPr>
        <w:pStyle w:val="Heading3"/>
      </w:pPr>
      <w:r>
        <w:rPr>
          <w:rFonts w:ascii="Microsoft YaHei" w:hAnsi="Microsoft YaHei" w:eastAsia="Microsoft YaHei"/>
          <w:b/>
        </w:rPr>
        <w:t>4. Variations in phytoplankton photosynthetic parameters around the subsurface chlorophyll maxima in the eastern Indian Ocean revealed by high-resolution measurements</w:t>
      </w:r>
    </w:p>
    <w:p>
      <w:r>
        <w:rPr>
          <w:rFonts w:ascii="Microsoft YaHei" w:hAnsi="Microsoft YaHei" w:eastAsia="Microsoft YaHei"/>
          <w:color w:val="55697D"/>
          <w:sz w:val="18"/>
        </w:rPr>
        <w:t>作者：Mitsuhide Sato; Takako Masuda; Yoshiko Kondo; Takuya Sato; Hiroaki Saito</w:t>
      </w:r>
    </w:p>
    <w:p>
      <w:r>
        <w:rPr>
          <w:rFonts w:ascii="Microsoft YaHei" w:hAnsi="Microsoft YaHei" w:eastAsia="Microsoft YaHei"/>
          <w:color w:val="55697D"/>
          <w:sz w:val="18"/>
        </w:rPr>
        <w:t>期刊：Oceanography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DOI：10.1016/j.pocean.2026.103810</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链接：https://doi.org/10.1016/j.pocean.2026.103810</w:t>
      </w:r>
    </w:p>
    <w:p>
      <w:pPr>
        <w:pStyle w:val="Heading3"/>
      </w:pPr>
      <w:r>
        <w:rPr>
          <w:rFonts w:ascii="Microsoft YaHei" w:hAnsi="Microsoft YaHei" w:eastAsia="Microsoft YaHei"/>
          <w:b/>
        </w:rPr>
        <w:t>5. Global Significance of Dipole-Pattern SST Anomalies in Mesoscale Eddies</w:t>
      </w:r>
    </w:p>
    <w:p>
      <w:r>
        <w:rPr>
          <w:rFonts w:ascii="Microsoft YaHei" w:hAnsi="Microsoft YaHei" w:eastAsia="Microsoft YaHei"/>
          <w:color w:val="55697D"/>
          <w:sz w:val="18"/>
        </w:rPr>
        <w:t>作者：Mingkun Lv; Fan Wang; Yuanlong Li</w:t>
      </w:r>
    </w:p>
    <w:p>
      <w:r>
        <w:rPr>
          <w:rFonts w:ascii="Microsoft YaHei" w:hAnsi="Microsoft YaHei" w:eastAsia="Microsoft YaHei"/>
          <w:color w:val="55697D"/>
          <w:sz w:val="18"/>
        </w:rPr>
        <w:t>期刊：Oceanography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DOI：10.1175/jpo-d-25-0068.1</w:t>
      </w:r>
    </w:p>
    <w:p>
      <w:r>
        <w:rPr>
          <w:rFonts w:ascii="Microsoft YaHei" w:hAnsi="Microsoft YaHei" w:eastAsia="Microsoft YaHei"/>
          <w:b/>
          <w:sz w:val="19"/>
        </w:rPr>
        <w:t>关键词：ocean biogeochemistry</w:t>
      </w:r>
    </w:p>
    <w:p>
      <w:r>
        <w:rPr>
          <w:rFonts w:ascii="Microsoft YaHei" w:hAnsi="Microsoft YaHei" w:eastAsia="Microsoft YaHei"/>
          <w:sz w:val="17"/>
        </w:rPr>
        <w:t>摘要：中尺度海洋-大气耦合调节全球气候。作为主要参与者，中尺度涡旋引起的海表温度异常（SSTA）表现出显着的多样性和复杂性，通常分为单极海温异常和偶极海温异常。然而，人们对独特的全球分布模式及其方差贡献仍知之甚少。对29年卫星观测的分析表明，偶极海温异常气旋（反气旋）涡占全球气旋（反气旋）涡引起的海温方差的49. 3%（51. 5%）。使用理想化模型，我们表明纬向涡流相对漂移在形成海温异常结构中起着显着的作用。 单极海温异常主要出现在墨西哥湾流、黑潮和南极绕极流（ACC）的延伸区，相对漂移较强，而偶极海温异常多出现在东部洋盆，纬向相对漂移较弱，有利于其发展。这一发现挑战了中尺度海洋-大气耦合的单极子中心范式，并为改善气候模型中的涡流表示提供了基准。</w:t>
      </w:r>
    </w:p>
    <w:p>
      <w:r>
        <w:rPr>
          <w:rFonts w:ascii="Microsoft YaHei" w:hAnsi="Microsoft YaHei" w:eastAsia="Microsoft YaHei"/>
          <w:color w:val="0563C1"/>
          <w:sz w:val="18"/>
        </w:rPr>
        <w:t>链接：https://doi.org/10.1175/jpo-d-25-0068.1</w:t>
      </w:r>
    </w:p>
    <w:p>
      <w:pPr>
        <w:pStyle w:val="Heading2"/>
      </w:pPr>
      <w:r>
        <w:t>重点关注团队</w:t>
      </w:r>
    </w:p>
    <w:p>
      <w:pPr>
        <w:pStyle w:val="Heading3"/>
      </w:pPr>
      <w:r>
        <w:rPr>
          <w:rFonts w:ascii="Microsoft YaHei" w:hAnsi="Microsoft YaHei" w:eastAsia="Microsoft YaHei"/>
          <w:b/>
        </w:rPr>
        <w:t>6. Warm Acclimation Modulates the Physiological Responses of Young Saccharina japonica to Marine Heatwaves</w:t>
      </w:r>
    </w:p>
    <w:p>
      <w:r>
        <w:rPr>
          <w:rFonts w:ascii="Microsoft YaHei" w:hAnsi="Microsoft YaHei" w:eastAsia="Microsoft YaHei"/>
          <w:color w:val="55697D"/>
          <w:sz w:val="18"/>
        </w:rPr>
        <w:t>作者：Yuning Xue; Yue Wang; Dong Xu; Xiaodong Li; Xinhua Chen; Yaoyao Chu; Xiongwei Huang</w:t>
      </w:r>
    </w:p>
    <w:p>
      <w:r>
        <w:rPr>
          <w:rFonts w:ascii="Microsoft YaHei" w:hAnsi="Microsoft YaHei" w:eastAsia="Microsoft YaHei"/>
          <w:color w:val="55697D"/>
          <w:sz w:val="18"/>
        </w:rPr>
        <w:t>期刊：Biology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DOI：10.3390/biology15161398</w:t>
      </w:r>
    </w:p>
    <w:p>
      <w:r>
        <w:rPr>
          <w:rFonts w:ascii="Microsoft YaHei" w:hAnsi="Microsoft YaHei" w:eastAsia="Microsoft YaHei"/>
          <w:b/>
          <w:sz w:val="19"/>
        </w:rPr>
        <w:t>关键词：phytoplankton; marine heatwaves</w:t>
      </w:r>
    </w:p>
    <w:p>
      <w:r>
        <w:rPr>
          <w:rFonts w:ascii="Microsoft YaHei" w:hAnsi="Microsoft YaHei" w:eastAsia="Microsoft YaHei"/>
          <w:sz w:val="17"/>
        </w:rPr>
        <w:t>摘要：频繁的海洋热浪（MHW）对海洋生态系统的结构和功能构成重大威胁并产生深远影响。海洋生物对 MHW 的反应可能取决于其栖息地的背景温度。糖精是一种冷温带物种，容易受到热应激的影响。然而，目前尚不清楚与栖息地相关的温度如何影响日本沙蚕对 MHW 的反应。在这项研究中，藻类在两种背景温度（对照水平，8°C；温暖水平，12°C）下暴露于 MHW（+Δ4°C），并在 MHW 结束和恢复期测量生长、光合性能和生化成分。结果表明，较高的背景温度会增加 S. 的生长和色素含量（叶绿素 c 和岩藻黄质）。 粳稻，但降低了叶绿素荧光参数，包括有效量子产率、相对电子传输速率、非光化学猝灭和光化学猝灭。在 8 °C 的背景温度下，MHW 对生长速率、光合性能或生化成分没有显着影响。相比之下，MHW 在较温暖的水平上降低了生长和生化成分含量（叶绿素 a、叶绿素 c、岩藻黄质和可溶性蛋白质），但负面影响在恢复期后减轻。此外，在温暖的条件下，MHW 引起的总抗氧化能力显着增加。总体而言，生长刺激表明较温暖的条件（12°C）可以为幼年金枪鱼提供更好的生长温度。 粳稻，但也增加了 MHW 引发的生物量损失和生理损害的风险。这些发现加深了我们对日本海藻对热浪的耐受性和抵抗力的理解，并为管理和调节这种重要商业海藻的种植提供了有用的信息。</w:t>
      </w:r>
    </w:p>
    <w:p>
      <w:r>
        <w:rPr>
          <w:rFonts w:ascii="Microsoft YaHei" w:hAnsi="Microsoft YaHei" w:eastAsia="Microsoft YaHei"/>
          <w:color w:val="0563C1"/>
          <w:sz w:val="18"/>
        </w:rPr>
        <w:t>链接：https://doi.org/10.3390/biology15161398</w:t>
      </w:r>
    </w:p>
    <w:p>
      <w:pPr>
        <w:pStyle w:val="Heading3"/>
      </w:pPr>
      <w:r>
        <w:rPr>
          <w:rFonts w:ascii="Microsoft YaHei" w:hAnsi="Microsoft YaHei" w:eastAsia="Microsoft YaHei"/>
          <w:b/>
        </w:rPr>
        <w:t>7. Millimeter-scale mineral-Li mapping and mineralization mechanism analysis of clay-type lithium deposits using hyperspectral core imaging</w:t>
      </w:r>
    </w:p>
    <w:p>
      <w:r>
        <w:rPr>
          <w:rFonts w:ascii="Microsoft YaHei" w:hAnsi="Microsoft YaHei" w:eastAsia="Microsoft YaHei"/>
          <w:color w:val="55697D"/>
          <w:sz w:val="18"/>
        </w:rPr>
        <w:t>作者：Jiacheng Mei; Lei Liu; Hongrui Zhang; Qunjia Zhang</w:t>
      </w:r>
    </w:p>
    <w:p>
      <w:r>
        <w:rPr>
          <w:rFonts w:ascii="Microsoft YaHei" w:hAnsi="Microsoft YaHei" w:eastAsia="Microsoft YaHei"/>
          <w:color w:val="55697D"/>
          <w:sz w:val="18"/>
        </w:rPr>
        <w:t>期刊：Geological Society of America Bulletin</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DOI：10.1130/b39152.1</w:t>
      </w:r>
    </w:p>
    <w:p>
      <w:r>
        <w:rPr>
          <w:rFonts w:ascii="Microsoft YaHei" w:hAnsi="Microsoft YaHei" w:eastAsia="Microsoft YaHei"/>
          <w:b/>
          <w:sz w:val="19"/>
        </w:rPr>
        <w:t>关键词：ocean biogeochemistry</w:t>
      </w:r>
    </w:p>
    <w:p>
      <w:r>
        <w:rPr>
          <w:rFonts w:ascii="Microsoft YaHei" w:hAnsi="Microsoft YaHei" w:eastAsia="Microsoft YaHei"/>
          <w:sz w:val="17"/>
        </w:rPr>
        <w:t>摘要：随着绿色能源产业的快速发展，锂资源变得越来越重要。铝土矿伴生粘土型锂矿床是新发现的沉积锂矿床类型，广泛分布于滇中地区。然而，这些矿床中的关键含锂矿物及其富集机制仍在研究中。成像高光谱技术提供高空间和光谱数据集，广泛用于岩心分析。然而，利用岩心高光谱图像进行定量分析的研究相对较少。当构建基于Transformer-多层感知器的锂含量反演模型并将其应用于小石桥地区岩心高光谱数据时，结果显示出极高的精度，R2值约为0。 训练集、测试集、验证集均为9。蒙脱石、伊利石、高岭石、绿泥石等粘土矿物的反演模型也达到了较高的精度。蒙脱石的空间分布与锂的空间分布密切相关，表明蒙脱石是主要的含锂矿物。根据这些结果和古地理分析，沉积过程可分为以异常富集的含锂层为标志的湖盆向湖沼转变的四个阶段。通过成像高光谱技术得出的锂和粘土矿物的毫米级空间分布揭示了锂富集的循环模式，其中富锂（蒙脱石）和贫锂（伊利石和高岭石）区域在富锂地层中交替出现。 显然，锂富集主要是由蒙脱石的强吸附能力和湖盆中锂离子的高浓度驱动的。本研究对锂富集机制的详细研究为滇中盆地大规模锂矿床勘探提供了宝贵的见解。</w:t>
      </w:r>
    </w:p>
    <w:p>
      <w:r>
        <w:rPr>
          <w:rFonts w:ascii="Microsoft YaHei" w:hAnsi="Microsoft YaHei" w:eastAsia="Microsoft YaHei"/>
          <w:color w:val="0563C1"/>
          <w:sz w:val="18"/>
        </w:rPr>
        <w:t>链接：https://doi.org/10.1130/b39152.1</w:t>
      </w:r>
    </w:p>
    <w:p>
      <w:pPr>
        <w:pStyle w:val="Heading2"/>
      </w:pPr>
      <w:r>
        <w:t>其他相关期刊：按主题相关性补充</w:t>
      </w:r>
    </w:p>
    <w:p>
      <w:pPr>
        <w:pStyle w:val="Heading3"/>
      </w:pPr>
      <w:r>
        <w:rPr>
          <w:rFonts w:ascii="Microsoft YaHei" w:hAnsi="Microsoft YaHei" w:eastAsia="Microsoft YaHei"/>
          <w:b/>
        </w:rPr>
        <w:t>8. Modeling polarimetric effects on aquatic remote sensing retrievals for Landsat 10</w:t>
      </w:r>
    </w:p>
    <w:p>
      <w:r>
        <w:rPr>
          <w:rFonts w:ascii="Microsoft YaHei" w:hAnsi="Microsoft YaHei" w:eastAsia="Microsoft YaHei"/>
          <w:color w:val="55697D"/>
          <w:sz w:val="18"/>
        </w:rPr>
        <w:t>作者：Rehman S. Eon; Michael G. Gartley; Thomas R. H. Holmes; Aaron Gerace; Matthew Montanaro; Shawn Serbin; Bruce D. Cook</w:t>
      </w:r>
    </w:p>
    <w:p>
      <w:r>
        <w:rPr>
          <w:rFonts w:ascii="Microsoft YaHei" w:hAnsi="Microsoft YaHei" w:eastAsia="Microsoft YaHei"/>
          <w:color w:val="55697D"/>
          <w:sz w:val="18"/>
        </w:rPr>
        <w:t>期刊：Optical Engineering</w:t>
      </w:r>
    </w:p>
    <w:p>
      <w:r>
        <w:rPr>
          <w:rFonts w:ascii="Microsoft YaHei" w:hAnsi="Microsoft YaHei" w:eastAsia="Microsoft YaHei"/>
          <w:color w:val="55697D"/>
          <w:sz w:val="18"/>
        </w:rPr>
        <w:t>发表月份：2026-07</w:t>
      </w:r>
    </w:p>
    <w:p>
      <w:r>
        <w:rPr>
          <w:rFonts w:ascii="Microsoft YaHei" w:hAnsi="Microsoft YaHei" w:eastAsia="Microsoft YaHei"/>
          <w:color w:val="55697D"/>
          <w:sz w:val="18"/>
        </w:rPr>
        <w:t>DOI：10.1117/1.oe.65.7.073101</w:t>
      </w:r>
    </w:p>
    <w:p>
      <w:r>
        <w:rPr>
          <w:rFonts w:ascii="Microsoft YaHei" w:hAnsi="Microsoft YaHei" w:eastAsia="Microsoft YaHei"/>
          <w:b/>
          <w:sz w:val="19"/>
        </w:rPr>
        <w:t>关键词：phytoplankton; ocean colour; ocean optics; microbial carbon; vertical structure</w:t>
      </w:r>
    </w:p>
    <w:p>
      <w:r>
        <w:rPr>
          <w:rFonts w:ascii="Microsoft YaHei" w:hAnsi="Microsoft YaHei" w:eastAsia="Microsoft YaHei"/>
          <w:sz w:val="17"/>
        </w:rPr>
        <w:t>摘要：大气与地表耦合相互作用中的偏振效应可能会在卫星观测中引入系统辐射误差，特别是对于水生遥感，其中水离开信号相对于总大气层顶部（TOA）辐射很小。即将到来的 Landsat 10 任务将部署 Landsat 仪器套件 (LandIS)，与之前的 Landsat 任务相比，该套件在可见光和近红外 (VNIR) 范围内提供了更大的光谱覆盖范围，并提高了空间分辨率，从而能够增强对水中成分的检索，例如叶绿素-a (CHL)、总悬浮沉积物 (TSS) 和有色溶解有机物 (CDOM)。在本研究中，我们使用端到端正向建模和不确定性量化框架来评估传感器偏振灵敏度对 LandIS VNIR 波段水生成分检索的影响。 使用 Hydrolight 辐射传输模型在由不同 CHL、TSS 和 CDOM 浓度定义的各种 Case-2 内陆和沿海水域条件下模拟出水辐射率。偏振效应通过空气-水界面和次表面散射内的菲涅耳米勒矩阵形式结合起来。使用偏振辐射传输模型 MODTRAN-P 对大气偏振进行建模。由此产生的偏振 TOA 辐射率按照 LandIS 波段配置进行光谱采样，并受到符合任务要求的仪器噪声和偏振灵敏度的干扰。在名义 LandIS SNR 和偏振因子要求下，太阳天顶角 (SZA)=40 度时的反演 RMSE 值对于 CHL 为 1. 15 μg/L，对于 TSS 为 1. 34 mg/L，对于 CDOM 为 0. 19 1/m。 在 76 度的高太阳天顶角条件下，CHL 的反演误差增加到 2. 56 μg/L，TSS 的反演误差增加到 2. 65 mg/L，CDOM 的反演误差增加到 0. 71 1/m，这表明倾斜照明几何条件下偏振灵敏度的影响增加。扩展的 LandIS VNIR 配置还提高了相对于传统 Landsat-8/9 OLI 波段集的检索性能，将 CHL 的 RMSE 从 3. 67 降低到 1. 15 μg/L，将 TSS 的 3. 12 降低到 1. 34 mg/L，将 CDOM 的 RMSE 从 0. 56 降低到 0. 19 1/m。本研究开发的建模框架提供了一种基于物理的方法，用于量化偏振对水生遥感检索的影响，并将仪器偏振性能与 Landsat 10 等未来卫星任务的科学产品要求联系起来。</w:t>
      </w:r>
    </w:p>
    <w:p>
      <w:r>
        <w:rPr>
          <w:rFonts w:ascii="Microsoft YaHei" w:hAnsi="Microsoft YaHei" w:eastAsia="Microsoft YaHei"/>
          <w:color w:val="0563C1"/>
          <w:sz w:val="18"/>
        </w:rPr>
        <w:t>链接：https://doi.org/10.1117/1.oe.65.7.073101</w:t>
      </w:r>
    </w:p>
    <w:p>
      <w:pPr>
        <w:pStyle w:val="Heading3"/>
      </w:pPr>
      <w:r>
        <w:rPr>
          <w:rFonts w:ascii="Microsoft YaHei" w:hAnsi="Microsoft YaHei" w:eastAsia="Microsoft YaHei"/>
          <w:b/>
        </w:rPr>
        <w:t>9. Integrating UAV and Ground-Based Hyperspectral Remote Sensing to Evaluate Split Nitrogen Application Strategies in Durum Wheat</w:t>
      </w:r>
    </w:p>
    <w:p>
      <w:r>
        <w:rPr>
          <w:rFonts w:ascii="Microsoft YaHei" w:hAnsi="Microsoft YaHei" w:eastAsia="Microsoft YaHei"/>
          <w:color w:val="55697D"/>
          <w:sz w:val="18"/>
        </w:rPr>
        <w:t>作者：Namık Kemal Sonmez; Sahriye Sonmez; Nusret Demir; Mesut Çoşlu; Taner Akar</w:t>
      </w:r>
    </w:p>
    <w:p>
      <w:r>
        <w:rPr>
          <w:rFonts w:ascii="Microsoft YaHei" w:hAnsi="Microsoft YaHei" w:eastAsia="Microsoft YaHei"/>
          <w:color w:val="55697D"/>
          <w:sz w:val="18"/>
        </w:rPr>
        <w:t>期刊：Nitrogen</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DOI：10.3390/nitrogen7030086</w:t>
      </w:r>
    </w:p>
    <w:p>
      <w:r>
        <w:rPr>
          <w:rFonts w:ascii="Microsoft YaHei" w:hAnsi="Microsoft YaHei" w:eastAsia="Microsoft YaHei"/>
          <w:b/>
          <w:sz w:val="19"/>
        </w:rPr>
        <w:t>关键词：ocean colour</w:t>
      </w:r>
    </w:p>
    <w:p>
      <w:r>
        <w:rPr>
          <w:rFonts w:ascii="Microsoft YaHei" w:hAnsi="Microsoft YaHei" w:eastAsia="Microsoft YaHei"/>
          <w:sz w:val="17"/>
        </w:rPr>
        <w:t>摘要：氮（N）是影响小麦生长、植物营养和粮食生产的最重要的营养元素之一。适当的施氮时机对于使养分利用率与作物需求同步至关重要。本研究使用地面高光谱传感和基于无人机 (UAV) 的多光谱图像相结合的综合方法，评估了地中海条件下硬粒小麦的七种氮管理处理，包括对照 (N0) 和六种分裂施氮方案 (N1-N6)。在不同物候阶段评估植物养分浓度（N、P、K、Ca 和 Mg）、光谱反射率、植被指数、株高和籽粒产量。施用裂氮显着影响植物养分浓度、光谱反射率、植被指数、株高和籽粒产量。 植物养分浓度通常随着作物生长而下降，而光谱反射率在光谱的可见光和近红外区域增加。来自高光谱和无人机多光谱数据的植被指数成功区分了物候阶段和氮处理。无人机获得的植物高度与现场测量结果高度一致，证实了摄影测量测量用于监测作物发育的可靠性。在氮处理中，N3分次施用方案产生了最有利的作物整体反应，植物氮浓度更高，光谱响应更强，谷物产量最高。此外，在孕穗阶段测量的无人机衍生的 NDVI 与粮食产量的关系最强 (r = 0. 717, p</w:t>
      </w:r>
    </w:p>
    <w:p>
      <w:r>
        <w:rPr>
          <w:rFonts w:ascii="Microsoft YaHei" w:hAnsi="Microsoft YaHei" w:eastAsia="Microsoft YaHei"/>
          <w:color w:val="0563C1"/>
          <w:sz w:val="18"/>
        </w:rPr>
        <w:t>链接：https://doi.org/10.3390/nitrogen7030086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