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检索日期：2026-09-08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On-Orbit Radiometric Calibration and Stability Assessment of the Visible to Near-Infrared Bands of Geostationary Ocean Color Imager-II (GOCI-II)</w:t>
      </w:r>
    </w:p>
    <w:p>
      <w:r>
        <w:rPr>
          <w:rFonts w:ascii="Microsoft YaHei" w:hAnsi="Microsoft YaHei" w:eastAsia="Microsoft YaHei"/>
          <w:color w:val="55697D"/>
          <w:sz w:val="18"/>
        </w:rPr>
        <w:t>作者：Minsang Kim; Myung-Sook Park; Jae-Hyun Ahn; Sujung Bae; Jong-Kuk Choi; Woochang Choi; Sun-Ju Lee; Geum-Sil Kang</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DOI：10.1109/jstars.2026.3731723</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链接：https://doi.org/10.1109/jstars.2026.3731723</w:t>
      </w:r>
    </w:p>
    <w:p>
      <w:pPr>
        <w:pStyle w:val="Heading2"/>
      </w:pPr>
      <w:r>
        <w:t>重点关注团队</w:t>
      </w:r>
    </w:p>
    <w:p>
      <w:pPr>
        <w:pStyle w:val="Heading3"/>
      </w:pPr>
      <w:r>
        <w:rPr>
          <w:rFonts w:ascii="Microsoft YaHei" w:hAnsi="Microsoft YaHei" w:eastAsia="Microsoft YaHei"/>
          <w:b/>
        </w:rPr>
        <w:t>2. The Water-Sediment Regulation Scheme Drives Phytoplankton Dynamics in the Yellow River Estuary</w:t>
      </w:r>
    </w:p>
    <w:p>
      <w:r>
        <w:rPr>
          <w:rFonts w:ascii="Microsoft YaHei" w:hAnsi="Microsoft YaHei" w:eastAsia="Microsoft YaHei"/>
          <w:color w:val="55697D"/>
          <w:sz w:val="18"/>
        </w:rPr>
        <w:t>作者：Sihan Zhang; Xiaomin Zhang; Ruiting Shen; Shihao Chen; Wenqi Qiao; Fan Li; Yanjie Gao; Jingjing Zhang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DOI：10.3390/w18172221</w:t>
      </w:r>
    </w:p>
    <w:p>
      <w:r>
        <w:rPr>
          <w:rFonts w:ascii="Microsoft YaHei" w:hAnsi="Microsoft YaHei" w:eastAsia="Microsoft YaHei"/>
          <w:b/>
          <w:sz w:val="19"/>
        </w:rPr>
        <w:t>关键词：phytoplankton</w:t>
      </w:r>
    </w:p>
    <w:p>
      <w:r>
        <w:rPr>
          <w:rFonts w:ascii="Microsoft YaHei" w:hAnsi="Microsoft YaHei" w:eastAsia="Microsoft YaHei"/>
          <w:sz w:val="17"/>
        </w:rPr>
        <w:t>摘要：黄河调水调沙计划（WSRS）是一项旨在缓解下游河道淤积的大规模人为干预措施，但其对河口浮游植物群落的长期生态影响仍然存在争议。本研究以黄河口12年（2011-2022年）连续监测数据为基础，以连续两年非WSRS年（2016-2017年）为基线，系统分析了WSRS对浮游植物丰度、群落结构和优势种演替的影响及其调控机制。我们的结果表明 WSRS 显着降低了盐度 (p</w:t>
      </w:r>
    </w:p>
    <w:p>
      <w:r>
        <w:rPr>
          <w:rFonts w:ascii="Microsoft YaHei" w:hAnsi="Microsoft YaHei" w:eastAsia="Microsoft YaHei"/>
          <w:color w:val="0563C1"/>
          <w:sz w:val="18"/>
        </w:rPr>
        <w:t>链接：https://doi.org/10.3390/w18172221</w:t>
      </w:r>
    </w:p>
    <w:p>
      <w:pPr>
        <w:pStyle w:val="Heading3"/>
      </w:pPr>
      <w:r>
        <w:rPr>
          <w:rFonts w:ascii="Microsoft YaHei" w:hAnsi="Microsoft YaHei" w:eastAsia="Microsoft YaHei"/>
          <w:b/>
        </w:rPr>
        <w:t>3. Dual-Wavelength OA-ICOS for Sensitive and Wide-Range In Situ Measurement of Dissolved Methane in Deep-Sea Cold Seeps</w:t>
      </w:r>
    </w:p>
    <w:p>
      <w:r>
        <w:rPr>
          <w:rFonts w:ascii="Microsoft YaHei" w:hAnsi="Microsoft YaHei" w:eastAsia="Microsoft YaHei"/>
          <w:color w:val="55697D"/>
          <w:sz w:val="18"/>
        </w:rPr>
        <w:t>作者：Mingsi Gu; Jingru Chen; Jiajin Chen; Jiaoxu Mei; Guishi Wang; Tu Tan; Kun Liu; Xiaoming Gao</w:t>
      </w:r>
    </w:p>
    <w:p>
      <w:r>
        <w:rPr>
          <w:rFonts w:ascii="Microsoft YaHei" w:hAnsi="Microsoft YaHei" w:eastAsia="Microsoft YaHei"/>
          <w:color w:val="55697D"/>
          <w:sz w:val="18"/>
        </w:rPr>
        <w:t>期刊：Analytical Chemistry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DOI：10.1021/acs.analchem.6c04761</w:t>
      </w:r>
    </w:p>
    <w:p>
      <w:r>
        <w:rPr>
          <w:rFonts w:ascii="Microsoft YaHei" w:hAnsi="Microsoft YaHei" w:eastAsia="Microsoft YaHei"/>
          <w:b/>
          <w:sz w:val="19"/>
        </w:rPr>
        <w:t>关键词：bio-optics; vertical structure</w:t>
      </w:r>
    </w:p>
    <w:p>
      <w:r>
        <w:rPr>
          <w:rFonts w:ascii="Microsoft YaHei" w:hAnsi="Microsoft YaHei" w:eastAsia="Microsoft YaHei"/>
          <w:sz w:val="17"/>
        </w:rPr>
        <w:t>摘要：深海冷渗中的溶解甲烷在短空间尺度上可以从背景水平变化到高度富集的渗水，这需要具有高灵敏度和宽动态范围的原位测量。单跃迁激光吸收测量通常面临权衡：强吸收线可以改善低浓度检测，但在高甲烷浓度下可能会饱和，而弱吸收线可以扩大可测量范围，但会降低灵敏度。我们开发了双波长离轴集成腔输出光谱分析仪，用于深海环境中溶解甲烷的连续原位测量。该系统利用 1651 和 1658 nm 附近的甲烷跃迁将痕量检测与高浓度定量相结合。气相校准显示两个通道均具有出色的线性度 (R2 &gt; 0. 999），1651 nm 通道校准超过 2-20 ppm，1658 nm 通道校准超过 10-2000 ppm。在连续测量 10. 06 ppm CH4 标准气体时，1651 nm 通道的浓度精度从 20 s 的 0. 016 ppm 提高到 400 s 的 1. 95 ppb，1658 nm 通道的浓度精度从 0. 69 ppm 提高到 52 ppb。然后校准基于膜的气体提取模块，将光学测量结果转换为溶解的甲烷浓度。南海北部载人潜水器现场部署解决了近海底甲烷富集、垂直快速衰减和局部热点超过250 ppm的问题。这些结果表明，双波长 OA-ICOS 策略可以支持在强非均质深海渗流环境中进行连续、定量的甲烷测量。</w:t>
      </w:r>
    </w:p>
    <w:p>
      <w:r>
        <w:rPr>
          <w:rFonts w:ascii="Microsoft YaHei" w:hAnsi="Microsoft YaHei" w:eastAsia="Microsoft YaHei"/>
          <w:color w:val="0563C1"/>
          <w:sz w:val="18"/>
        </w:rPr>
        <w:t>链接：https://doi.org/10.1021/acs.analchem.6c04761</w:t>
      </w:r>
    </w:p>
    <w:p>
      <w:pPr>
        <w:pStyle w:val="Heading2"/>
      </w:pPr>
      <w:r>
        <w:t>其他相关期刊：按主题相关性补充</w:t>
      </w:r>
    </w:p>
    <w:p>
      <w:pPr>
        <w:pStyle w:val="Heading3"/>
      </w:pPr>
      <w:r>
        <w:rPr>
          <w:rFonts w:ascii="Microsoft YaHei" w:hAnsi="Microsoft YaHei" w:eastAsia="Microsoft YaHei"/>
          <w:b/>
        </w:rPr>
        <w:t>4. Seasonal stratification regulates carbon allocation between particulate and dissolved pathways in the Gulf of Aqaba</w:t>
      </w:r>
    </w:p>
    <w:p>
      <w:r>
        <w:rPr>
          <w:rFonts w:ascii="Microsoft YaHei" w:hAnsi="Microsoft YaHei" w:eastAsia="Microsoft YaHei"/>
          <w:color w:val="55697D"/>
          <w:sz w:val="18"/>
        </w:rPr>
        <w:t>作者：Eyal Rahav; Adina Paytan</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DOI：10.5194/os-22-2711-2026</w:t>
      </w:r>
    </w:p>
    <w:p>
      <w:r>
        <w:rPr>
          <w:rFonts w:ascii="Microsoft YaHei" w:hAnsi="Microsoft YaHei" w:eastAsia="Microsoft YaHei"/>
          <w:b/>
          <w:sz w:val="19"/>
        </w:rPr>
        <w:t>关键词：carbon pump; microbial carbon</w:t>
      </w:r>
    </w:p>
    <w:p>
      <w:r>
        <w:rPr>
          <w:rFonts w:ascii="Microsoft YaHei" w:hAnsi="Microsoft YaHei" w:eastAsia="Microsoft YaHei"/>
          <w:sz w:val="17"/>
        </w:rPr>
        <w:t>摘要：水柱分层对海洋贫营养区域的微生物碳循环发挥着根本性的控制作用，但其对新固定碳的分配和命运的影响仍未得到充分解决。在这里，我们通过分层期间进行的 5 次航行调查了北红海（亚喀巴湾）的碳通量。我们报告了基于 14C 的初级生产测量，分为颗粒（&gt; 0. 7 µm；PPPOC）和溶解（占总 PP 的 7%，表明较大比例的光合固定碳被释放到溶解的碳库中。PPDOC (0. 02–0. 03 g C m−2 d−1) 与 BP (0. 08–0. 16 g C m−2) 呈正相关。 d−1)，表明最近释放的溶解底物有助于维持异养微生物活性，尽管初级生产力下降，BR 仍然很高 (0. 23–0. 52 g C m−2 d−1)，导致细菌生长效率低至中等（13%–35%），表明大多数加工碳被呼吸而不是并入生物质中。这些发现表明，夏季分层增强了溶解碳释放和 DOC 微生物循环的相对重要性，从而降低了亚喀巴湾和其他可能的贫营养系统碳转移到深处的效率。</w:t>
      </w:r>
    </w:p>
    <w:p>
      <w:r>
        <w:rPr>
          <w:rFonts w:ascii="Microsoft YaHei" w:hAnsi="Microsoft YaHei" w:eastAsia="Microsoft YaHei"/>
          <w:color w:val="0563C1"/>
          <w:sz w:val="18"/>
        </w:rPr>
        <w:t>链接：https://doi.org/10.5194/os-22-2711-2026</w:t>
      </w:r>
    </w:p>
    <w:p>
      <w:pPr>
        <w:pStyle w:val="Heading3"/>
      </w:pPr>
      <w:r>
        <w:rPr>
          <w:rFonts w:ascii="Microsoft YaHei" w:hAnsi="Microsoft YaHei" w:eastAsia="Microsoft YaHei"/>
          <w:b/>
        </w:rPr>
        <w:t>5. Biodiversity in Motion: How Marine Diversity Shapes the Ocean’s Active Carbon Pump</w:t>
      </w:r>
    </w:p>
    <w:p>
      <w:r>
        <w:rPr>
          <w:rFonts w:ascii="Microsoft YaHei" w:hAnsi="Microsoft YaHei" w:eastAsia="Microsoft YaHei"/>
          <w:color w:val="55697D"/>
          <w:sz w:val="18"/>
        </w:rPr>
        <w:t>作者：Alexander Vereshchaka</w:t>
      </w:r>
    </w:p>
    <w:p>
      <w:r>
        <w:rPr>
          <w:rFonts w:ascii="Microsoft YaHei" w:hAnsi="Microsoft YaHei" w:eastAsia="Microsoft YaHei"/>
          <w:color w:val="55697D"/>
          <w:sz w:val="18"/>
        </w:rPr>
        <w:t>期刊：Diversity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DOI：10.3390/d18090549</w:t>
      </w:r>
    </w:p>
    <w:p>
      <w:r>
        <w:rPr>
          <w:rFonts w:ascii="Microsoft YaHei" w:hAnsi="Microsoft YaHei" w:eastAsia="Microsoft YaHei"/>
          <w:b/>
          <w:sz w:val="19"/>
        </w:rPr>
        <w:t>关键词：carbon pump; vertical structure</w:t>
      </w:r>
    </w:p>
    <w:p>
      <w:r>
        <w:rPr>
          <w:rFonts w:ascii="Microsoft YaHei" w:hAnsi="Microsoft YaHei" w:eastAsia="Microsoft YaHei"/>
          <w:sz w:val="17"/>
        </w:rPr>
        <w:t>摘要：生物碳泵通过将碳从表层海洋输送到深处，在调节大气二氧化碳方面发挥着核心作用。尽管昼夜垂直迁移和主动迁移泵（AMP）越来越多地被认为是碳固存的重要组成部分，但以前的评论主要集中在碳通量和个体迁移群体上，很少关注分类和功能生物多样性、群落组成、生物量和环境强迫如何相互作用以形成主动碳迁移。在这里，我们综合了 AMP 背后的生物多样性的最新知识，并评估了生物体特性、功能特征、行为、生活史和生物量如何影响活性炭出口的程度、途径和效率。 我们进一步研究活性碳迁移的主要机制及其与跨洋盆地生物多样性的联系，并评估气候驱动的物种组成、迁徙行为和生态系统结构的变化如何改变AMP。该审查确定了三个主要的知识差距：迁徙生物的生物量存在很大的不确定性，关键迁徙群体的分类学分辨率不足，以及生物多样性和功能性状在碳通量模型中的纳入有限。活性碳运输是由生物多样性、生物量、生物特征、迁移行为和环境因素之间的相互作用决定的。因此，将这些维度明确整合到生物地球化学模型中对于改进 AMP 的估计并预测其对海洋变化的响应至关重要。</w:t>
      </w:r>
    </w:p>
    <w:p>
      <w:r>
        <w:rPr>
          <w:rFonts w:ascii="Microsoft YaHei" w:hAnsi="Microsoft YaHei" w:eastAsia="Microsoft YaHei"/>
          <w:color w:val="0563C1"/>
          <w:sz w:val="18"/>
        </w:rPr>
        <w:t>链接：https://doi.org/10.3390/d18090549</w:t>
      </w:r>
    </w:p>
    <w:p>
      <w:pPr>
        <w:pStyle w:val="Heading3"/>
      </w:pPr>
      <w:r>
        <w:rPr>
          <w:rFonts w:ascii="Microsoft YaHei" w:hAnsi="Microsoft YaHei" w:eastAsia="Microsoft YaHei"/>
          <w:b/>
        </w:rPr>
        <w:t>6. Spatially non-stationary drivers and clustering of chlorophyll-a across the Syrian continental shelf (Eastern Mediterranean): A satellite-based analysis</w:t>
      </w:r>
    </w:p>
    <w:p>
      <w:r>
        <w:rPr>
          <w:rFonts w:ascii="Microsoft YaHei" w:hAnsi="Microsoft YaHei" w:eastAsia="Microsoft YaHei"/>
          <w:color w:val="55697D"/>
          <w:sz w:val="18"/>
        </w:rPr>
        <w:t>作者：Assem Khatib; Fadi Chaaban</w:t>
      </w:r>
    </w:p>
    <w:p>
      <w:r>
        <w:rPr>
          <w:rFonts w:ascii="Microsoft YaHei" w:hAnsi="Microsoft YaHei" w:eastAsia="Microsoft YaHei"/>
          <w:color w:val="55697D"/>
          <w:sz w:val="18"/>
        </w:rPr>
        <w:t>期刊：Journal of Marine Systems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DOI：10.1016/j.jmarsys.2026.104299</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链接：https://doi.org/10.1016/j.jmarsys.2026.104299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