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检索日期：2026-09-05 | GitHub Actions 自动生成</w:t>
      </w:r>
    </w:p>
    <w:p>
      <w:pPr>
        <w:pStyle w:val="Heading1"/>
      </w:pPr>
      <w:r>
        <w:t>今日总览</w:t>
      </w:r>
    </w:p>
    <w:p>
      <w:r>
        <w:rPr>
          <w:rFonts w:ascii="Microsoft YaHei" w:hAnsi="Microsoft YaHei" w:eastAsia="Microsoft YaHei"/>
        </w:rPr>
        <w:t>历史去重后今日新增 10 篇。排序规则：Nature 系列、Science 系列、其余重点期刊、重点关注团队、其他相关补充论文。</w:t>
      </w:r>
    </w:p>
    <w:p>
      <w:pPr>
        <w:pStyle w:val="Heading1"/>
      </w:pPr>
      <w:r>
        <w:t>论文速读</w:t>
      </w:r>
    </w:p>
    <w:p>
      <w:pPr>
        <w:pStyle w:val="Heading2"/>
      </w:pPr>
      <w:r>
        <w:t>Nature 系列</w:t>
      </w:r>
    </w:p>
    <w:p>
      <w:pPr>
        <w:pStyle w:val="Heading3"/>
      </w:pPr>
      <w:r>
        <w:rPr>
          <w:rFonts w:ascii="Microsoft YaHei" w:hAnsi="Microsoft YaHei" w:eastAsia="Microsoft YaHei"/>
          <w:b/>
        </w:rPr>
        <w:t>1. Ubiquity and seasonality of deep submesoscales in the Southern Ocean revealed by elephant seals</w:t>
      </w:r>
    </w:p>
    <w:p>
      <w:r>
        <w:rPr>
          <w:rFonts w:ascii="Microsoft YaHei" w:hAnsi="Microsoft YaHei" w:eastAsia="Microsoft YaHei"/>
          <w:color w:val="55697D"/>
          <w:sz w:val="18"/>
        </w:rPr>
        <w:t>作者：Lia Siegelman; Matthew H. Alford; Baptiste Picard; Christophe Guinet</w:t>
      </w:r>
    </w:p>
    <w:p>
      <w:r>
        <w:rPr>
          <w:rFonts w:ascii="Microsoft YaHei" w:hAnsi="Microsoft YaHei" w:eastAsia="Microsoft YaHei"/>
          <w:color w:val="55697D"/>
          <w:sz w:val="18"/>
        </w:rPr>
        <w:t>期刊：Nature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DOI：10.1038/s41467-026-77299-1</w:t>
      </w:r>
    </w:p>
    <w:p>
      <w:r>
        <w:rPr>
          <w:rFonts w:ascii="Microsoft YaHei" w:hAnsi="Microsoft YaHei" w:eastAsia="Microsoft YaHei"/>
          <w:b/>
          <w:sz w:val="19"/>
        </w:rPr>
        <w:t>关键词：vertical structure</w:t>
      </w:r>
    </w:p>
    <w:p>
      <w:r>
        <w:rPr>
          <w:rFonts w:ascii="Microsoft YaHei" w:hAnsi="Microsoft YaHei" w:eastAsia="Microsoft YaHei"/>
          <w:sz w:val="17"/>
        </w:rPr>
        <w:t>摘要：大小为 1-20 公里的海洋亚中尺度锋已在表面混合层内被广泛记录，但对其下方的存在知之甚少。我们以亚公里分辨率分析了 2014 年至 2020 年装备仪器的南象海豹在南大洋印度区进行的 133 598 次潜水记录。在这里，我们发现亚介尺度运动在混合层下方加剧，并且从地表到至少 500 m 的深度全年都存在。它们表现出季节性周期，南方春季（9 月至 11 月）强度增强，秋季（3 月至 5 月）减弱。这些深层亚中尺度遵循高度测量得出的表面涡流动能的季节性，表明它们是由中尺度涡流产生的。 由于已知亚中尺度与强垂直速度有关，因此这些结果表明，深度的热量和营养物的垂直交换可能比通常假设的更重要。</w:t>
      </w:r>
    </w:p>
    <w:p>
      <w:r>
        <w:rPr>
          <w:rFonts w:ascii="Microsoft YaHei" w:hAnsi="Microsoft YaHei" w:eastAsia="Microsoft YaHei"/>
          <w:color w:val="0563C1"/>
          <w:sz w:val="18"/>
        </w:rPr>
        <w:t>链接：https://doi.org/10.1038/s41467-026-77299-1</w:t>
      </w:r>
    </w:p>
    <w:p>
      <w:pPr>
        <w:pStyle w:val="Heading2"/>
      </w:pPr>
      <w:r>
        <w:t>重点期刊：按影响力和相关性排序</w:t>
      </w:r>
    </w:p>
    <w:p>
      <w:pPr>
        <w:pStyle w:val="Heading3"/>
      </w:pPr>
      <w:r>
        <w:rPr>
          <w:rFonts w:ascii="Microsoft YaHei" w:hAnsi="Microsoft YaHei" w:eastAsia="Microsoft YaHei"/>
          <w:b/>
        </w:rPr>
        <w:t>2. Marine Heatwaves and Coral Bleaching Potential in the Java Sea During the 2016 Extreme Thermal Event</w:t>
      </w:r>
    </w:p>
    <w:p>
      <w:r>
        <w:rPr>
          <w:rFonts w:ascii="Microsoft YaHei" w:hAnsi="Microsoft YaHei" w:eastAsia="Microsoft YaHei"/>
          <w:color w:val="55697D"/>
          <w:sz w:val="18"/>
        </w:rPr>
        <w:t>作者：Mukti Trenggono; Denny Nugroho Sugianto; Anindya Wirasatriya; Mochamad Furqon Azis Ismail</w:t>
      </w:r>
    </w:p>
    <w:p>
      <w:r>
        <w:rPr>
          <w:rFonts w:ascii="Microsoft YaHei" w:hAnsi="Microsoft YaHei" w:eastAsia="Microsoft YaHei"/>
          <w:color w:val="55697D"/>
          <w:sz w:val="18"/>
        </w:rPr>
        <w:t>期刊：Oceanography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DOI：10.14710/ijoce.v8i3.32553</w:t>
      </w:r>
    </w:p>
    <w:p>
      <w:r>
        <w:rPr>
          <w:rFonts w:ascii="Microsoft YaHei" w:hAnsi="Microsoft YaHei" w:eastAsia="Microsoft YaHei"/>
          <w:b/>
          <w:sz w:val="19"/>
        </w:rPr>
        <w:t>关键词：marine heatwaves</w:t>
      </w:r>
    </w:p>
    <w:p>
      <w:r>
        <w:rPr>
          <w:rFonts w:ascii="Microsoft YaHei" w:hAnsi="Microsoft YaHei" w:eastAsia="Microsoft YaHei"/>
          <w:sz w:val="17"/>
        </w:rPr>
        <w:t>摘要：对 2016 年爪哇海的强烈热事件进行了分析，以评估海洋热浪 (MHW) 与珊瑚白化潜力之间的联系。我们使用 1982 年至 2023 年的每日海面温度数据，使用第 90 个百分位数阈值来检测海洋热浪，并以热点和加热周 (DHW) 的形式生成珊瑚白化热应激。该分析是在爪哇海地区和三个与珊瑚礁相关的地点进行的，即 Kepulauan Seribu、Karimunjawa 和 Kangean。结果表明，2016 年的事件是一场全球海洋热浪，但白化程度的热应激具有地理和时间选择性。暴露于 DHW ≥4°C 周的最大面积占整个爪哇海面积的 26. 3%，即约 182,000 平方公里。没有观察到 2 级警报，因为没有区域达到 DHW ≥8°C 周。 Kangean 地点的白化潜力是三个珊瑚礁地点中最高的，最大 DHW 为 4. 87°C 周，持续时间为 53 天。 Kepulauan Seribu 的累积热应激最小，Karimunjawa 略低于警报级别 1。这些结果表明，仅 MHW 发生率不足以代表珊瑚白化潜力，HotSpot 和 DHW 为珊瑚礁监测和管理提供了更好的基础。</w:t>
      </w:r>
    </w:p>
    <w:p>
      <w:r>
        <w:rPr>
          <w:rFonts w:ascii="Microsoft YaHei" w:hAnsi="Microsoft YaHei" w:eastAsia="Microsoft YaHei"/>
          <w:color w:val="0563C1"/>
          <w:sz w:val="18"/>
        </w:rPr>
        <w:t>链接：https://doi.org/10.14710/ijoce.v8i3.32553</w:t>
      </w:r>
    </w:p>
    <w:p>
      <w:pPr>
        <w:pStyle w:val="Heading3"/>
      </w:pPr>
      <w:r>
        <w:rPr>
          <w:rFonts w:ascii="Microsoft YaHei" w:hAnsi="Microsoft YaHei" w:eastAsia="Microsoft YaHei"/>
          <w:b/>
        </w:rPr>
        <w:t>3. Multi-Granularity Graph Neural Network for Satellite-Assisted Marine Environmental Field Reconstruction over Sparse Observation Grids</w:t>
      </w:r>
    </w:p>
    <w:p>
      <w:r>
        <w:rPr>
          <w:rFonts w:ascii="Microsoft YaHei" w:hAnsi="Microsoft YaHei" w:eastAsia="Microsoft YaHei"/>
          <w:color w:val="55697D"/>
          <w:sz w:val="18"/>
        </w:rPr>
        <w:t>作者：Baowen Guo; Yangming Guo</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DOI：10.3390/rs18173003</w:t>
      </w:r>
    </w:p>
    <w:p>
      <w:r>
        <w:rPr>
          <w:rFonts w:ascii="Microsoft YaHei" w:hAnsi="Microsoft YaHei" w:eastAsia="Microsoft YaHei"/>
          <w:b/>
          <w:sz w:val="19"/>
        </w:rPr>
        <w:t>关键词：ocean colour; vertical structure</w:t>
      </w:r>
    </w:p>
    <w:p>
      <w:r>
        <w:rPr>
          <w:rFonts w:ascii="Microsoft YaHei" w:hAnsi="Microsoft YaHei" w:eastAsia="Microsoft YaHei"/>
          <w:sz w:val="17"/>
        </w:rPr>
        <w:t>摘要：海洋遥感将海洋表面的广泛覆盖卫星观测与稀疏的原位和水下观测结合起来。然而，由于不规则采样、垂直非平稳性和测深障碍，重建连续三维环境场仍然具有挑战性。本文提出了一种多粒度图协作神经网络（MG-GCNN），用于稀疏监控场景中的高保真现场重建和态势感知。网络将离散观察点抽象为拓扑图结构中的异构节点。 通过将高分辨率测深作为几何先验，地形感知图构建、垂直特征集成、多粒度聚合和自监督掩蔽节点重建被联合用于在有限的观测可用性下捕获空间和垂直依赖性。实验结果表明，MG-GCNN 在重建精度方面显着优于基线插值和卷积模型，特别是在水下地形复杂和采样极度稀疏的区域。重建的环境场可以为后续的海洋声学传播建模、水下传感和相关海洋应用提供三维环境输入。</w:t>
      </w:r>
    </w:p>
    <w:p>
      <w:r>
        <w:rPr>
          <w:rFonts w:ascii="Microsoft YaHei" w:hAnsi="Microsoft YaHei" w:eastAsia="Microsoft YaHei"/>
          <w:color w:val="0563C1"/>
          <w:sz w:val="18"/>
        </w:rPr>
        <w:t>链接：https://doi.org/10.3390/rs18173003</w:t>
      </w:r>
    </w:p>
    <w:p>
      <w:pPr>
        <w:pStyle w:val="Heading3"/>
      </w:pPr>
      <w:r>
        <w:rPr>
          <w:rFonts w:ascii="Microsoft YaHei" w:hAnsi="Microsoft YaHei" w:eastAsia="Microsoft YaHei"/>
          <w:b/>
        </w:rPr>
        <w:t>4. Assessing the Value of FY-4A/B Cloud-Top Height for Deep Learning-Based Tropical Cyclone Intensity Estimation over the Western North Pacific</w:t>
      </w:r>
    </w:p>
    <w:p>
      <w:r>
        <w:rPr>
          <w:rFonts w:ascii="Microsoft YaHei" w:hAnsi="Microsoft YaHei" w:eastAsia="Microsoft YaHei"/>
          <w:color w:val="55697D"/>
          <w:sz w:val="18"/>
        </w:rPr>
        <w:t>作者：Xishu Huang; Xinyi Chen; Yuan Sun; Chaoxiong Xu; Wei Zhong; Hongrang He</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DOI：10.3390/rs18173030</w:t>
      </w:r>
    </w:p>
    <w:p>
      <w:r>
        <w:rPr>
          <w:rFonts w:ascii="Microsoft YaHei" w:hAnsi="Microsoft YaHei" w:eastAsia="Microsoft YaHei"/>
          <w:b/>
          <w:sz w:val="19"/>
        </w:rPr>
        <w:t>关键词：vertical structure</w:t>
      </w:r>
    </w:p>
    <w:p>
      <w:r>
        <w:rPr>
          <w:rFonts w:ascii="Microsoft YaHei" w:hAnsi="Microsoft YaHei" w:eastAsia="Microsoft YaHei"/>
          <w:sz w:val="17"/>
        </w:rPr>
        <w:t>摘要：北太平洋西部的热带气旋（TC）强度估计仍然受到卫星观测、最佳跟踪记录和快速变化的内核结构的不确定性的影响。为了进一步利用云系统垂直结构及其时间演化信息，本研究引入了FY-4A/B云顶高度（CTH）产品，并开发了CTH-TCNet，这是一种三分支门控融合模型，集成了红外亮温、CMORPH降水和用于TC强度估计的多维CTH信息。该模型由一个基于 CNN 的空间分支、一个基于 LSTM 的时间分支（表示过去 12 小时内的 CTH 演化）以及一个保存当前时间 CTH 统计数据的快捷分支组成。系统的消融实验表明，CTH 的贡献与其表示和融合策略密切相关。 直接添加单时间步长二维 CTH 字段作为附加空间通道不会提供进一步的性能增益，而历史 CTH 演变和当前 CTH 统计数据提供补充信息。通过时间分支和快捷分支联合表示这两种类型的信息可以产生最佳性能。最终模型在测试集上实现了 6. 26 kt 的 MAE 和 7. 41 kt 的 RMSE。强度分层结果进一步表明，CTH 通常为 TY、STY 和 Super TY 提供比 TS 更大的改进。 可解释性分析表明，随着 TC 强度的增加，该模型表现出对来自内核和眼墙邻近区域的 CTH 时间演化和结构信息的更大依赖，这些依赖模式与 TC 内核对流组织和眼墙相关结构的已知特征大致一致。这些结果表明，FY-4A/B CTH 为星基 TC 强度估算提供了有价值的补充结构和时间信息。</w:t>
      </w:r>
    </w:p>
    <w:p>
      <w:r>
        <w:rPr>
          <w:rFonts w:ascii="Microsoft YaHei" w:hAnsi="Microsoft YaHei" w:eastAsia="Microsoft YaHei"/>
          <w:color w:val="0563C1"/>
          <w:sz w:val="18"/>
        </w:rPr>
        <w:t>链接：https://doi.org/10.3390/rs18173030</w:t>
      </w:r>
    </w:p>
    <w:p>
      <w:pPr>
        <w:pStyle w:val="Heading2"/>
      </w:pPr>
      <w:r>
        <w:t>重点关注团队</w:t>
      </w:r>
    </w:p>
    <w:p>
      <w:pPr>
        <w:pStyle w:val="Heading3"/>
      </w:pPr>
      <w:r>
        <w:rPr>
          <w:rFonts w:ascii="Microsoft YaHei" w:hAnsi="Microsoft YaHei" w:eastAsia="Microsoft YaHei"/>
          <w:b/>
        </w:rPr>
        <w:t>5. Spatiotemporal Evolution of Groundwater and Vegetation Response Driving Mechanism in the Tarim River Basin Based on Multi-Source Remote Sensing</w:t>
      </w:r>
    </w:p>
    <w:p>
      <w:r>
        <w:rPr>
          <w:rFonts w:ascii="Microsoft YaHei" w:hAnsi="Microsoft YaHei" w:eastAsia="Microsoft YaHei"/>
          <w:color w:val="55697D"/>
          <w:sz w:val="18"/>
        </w:rPr>
        <w:t>作者：Qiang Han; Mosammat Mustari Khanaum; Yang Ou; Xiaoyu Zhang; Xinru Cheng</w:t>
      </w:r>
    </w:p>
    <w:p>
      <w:r>
        <w:rPr>
          <w:rFonts w:ascii="Microsoft YaHei" w:hAnsi="Microsoft YaHei" w:eastAsia="Microsoft YaHei"/>
          <w:color w:val="55697D"/>
          <w:sz w:val="18"/>
        </w:rPr>
        <w:t>期刊：Water</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DOI：10.3390/w18172200</w:t>
      </w:r>
    </w:p>
    <w:p>
      <w:r>
        <w:rPr>
          <w:rFonts w:ascii="Microsoft YaHei" w:hAnsi="Microsoft YaHei" w:eastAsia="Microsoft YaHei"/>
          <w:b/>
          <w:sz w:val="19"/>
        </w:rPr>
        <w:t>关键词：ocean colour</w:t>
      </w:r>
    </w:p>
    <w:p>
      <w:r>
        <w:rPr>
          <w:rFonts w:ascii="Microsoft YaHei" w:hAnsi="Microsoft YaHei" w:eastAsia="Microsoft YaHei"/>
          <w:sz w:val="17"/>
        </w:rPr>
        <w:t>摘要：作为我国极干旱地区最大的内陆河流域，塔里木河流域地下水—植被系统的稳定对于巩固西北地区生态安全屏障至关重要。为揭示2003—2024年流域地下水储量演变规律及其对植被动态的响应机制，本研究基于GRACE重力卫星、GLDAS地表同化和MODIS遥感数据。综合Theil Sen趋势分析、Hurst指数、时空Granger因果检验和标准化多元线性回归模型，系统分析流域地下水储量（GWSA）的时空异质性、未来演化趋势和多驱动因素贡献模式。 结果表明：（1）研究期间，流域GWSA呈显着下降趋势，下降率为-3。 5毫米/年，经历了“综合损失、局部恢复、南补北损”的空间再分配过程。北部及周边地区面临新的枯竭风险。 （2）植被状况持续改善，VCI由低到中逐渐上升，但空间异质性同步增强； VCI与GWSA之间存在显着的空间正相关关系，仅西南地区有较强的滞后驱动效应（F &gt; 40）。其他地区植被因子对地下水的解释力有限。 （3）未来趋势预测显示，70%以上地区将延续历史变化方向，北方持续亏损趋势难以扭转。 (4)驱动因素贡献率存在显着的空间分异:植被条件(VCI)为主导因素,控制流域边缘和东部地区的57. 53%;降水和气温分别占中部地区（24. 94%）和西南沙漠地区（17. 53%）的主导地位。研究成果可为塔里木河流域差异化生态输水和水资源精细化管理提供科学依据。</w:t>
      </w:r>
    </w:p>
    <w:p>
      <w:r>
        <w:rPr>
          <w:rFonts w:ascii="Microsoft YaHei" w:hAnsi="Microsoft YaHei" w:eastAsia="Microsoft YaHei"/>
          <w:color w:val="0563C1"/>
          <w:sz w:val="18"/>
        </w:rPr>
        <w:t>链接：https://doi.org/10.3390/w18172200</w:t>
      </w:r>
    </w:p>
    <w:p>
      <w:pPr>
        <w:pStyle w:val="Heading3"/>
      </w:pPr>
      <w:r>
        <w:rPr>
          <w:rFonts w:ascii="Microsoft YaHei" w:hAnsi="Microsoft YaHei" w:eastAsia="Microsoft YaHei"/>
          <w:b/>
        </w:rPr>
        <w:t>6. The Biotechnological Applications of Marine Bacteria</w:t>
      </w:r>
    </w:p>
    <w:p>
      <w:r>
        <w:rPr>
          <w:rFonts w:ascii="Microsoft YaHei" w:hAnsi="Microsoft YaHei" w:eastAsia="Microsoft YaHei"/>
          <w:color w:val="55697D"/>
          <w:sz w:val="18"/>
        </w:rPr>
        <w:t>作者：Liren Jiang; Robyn Wright; Renee Raudonis; Arjun H. Banskota; Bernard R. Glick; Robert J. Mitchell; Michal Scur; Zui Wang; et al.</w:t>
      </w:r>
    </w:p>
    <w:p>
      <w:r>
        <w:rPr>
          <w:rFonts w:ascii="Microsoft YaHei" w:hAnsi="Microsoft YaHei" w:eastAsia="Microsoft YaHei"/>
          <w:color w:val="55697D"/>
          <w:sz w:val="18"/>
        </w:rPr>
        <w:t>期刊：Biology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DOI：10.3390/biology15171546</w:t>
      </w:r>
    </w:p>
    <w:p>
      <w:r>
        <w:rPr>
          <w:rFonts w:ascii="Microsoft YaHei" w:hAnsi="Microsoft YaHei" w:eastAsia="Microsoft YaHei"/>
          <w:b/>
          <w:sz w:val="19"/>
        </w:rPr>
        <w:t>关键词：microbial carbon</w:t>
      </w:r>
    </w:p>
    <w:p>
      <w:r>
        <w:rPr>
          <w:rFonts w:ascii="Microsoft YaHei" w:hAnsi="Microsoft YaHei" w:eastAsia="Microsoft YaHei"/>
          <w:sz w:val="17"/>
        </w:rPr>
        <w:t>摘要：海洋细菌代表了生物技术创新的巨大且很大程度上尚未开发的资源，为健康、可持续发展和环境保护方面的全球挑战提供了解决方案。海洋的独特条件促使海洋细菌进化出多种代谢能力，从而产生具有广泛应用的生物活性化合物、酶和其他代谢物。高通量测序、宏基因组学和分析化学的最新进展为在医学、农业和生物修复等各个领域利用这些微生物带来了新的机会。这篇综述强调了海洋细菌在“同一个健康”框架中的作用，展示了它们对抗菌药物发现、营养保健品开发、病原体生物控制和环境清理（包括微塑料降解）的贡献。 本综述还研究了微生物组挖掘和先进培养技术等新兴方法，这些方法是在可持续生物经济中充分发挥海洋细菌潜力的关键。通过将基础研究与应用科学联系起来，海洋生物技术有望对人类、动物和环境健康产生变革性影响。</w:t>
      </w:r>
    </w:p>
    <w:p>
      <w:r>
        <w:rPr>
          <w:rFonts w:ascii="Microsoft YaHei" w:hAnsi="Microsoft YaHei" w:eastAsia="Microsoft YaHei"/>
          <w:color w:val="0563C1"/>
          <w:sz w:val="18"/>
        </w:rPr>
        <w:t>链接：https://doi.org/10.3390/biology15171546</w:t>
      </w:r>
    </w:p>
    <w:p>
      <w:pPr>
        <w:pStyle w:val="Heading2"/>
      </w:pPr>
      <w:r>
        <w:t>其他相关期刊：按主题相关性补充</w:t>
      </w:r>
    </w:p>
    <w:p>
      <w:pPr>
        <w:pStyle w:val="Heading3"/>
      </w:pPr>
      <w:r>
        <w:rPr>
          <w:rFonts w:ascii="Microsoft YaHei" w:hAnsi="Microsoft YaHei" w:eastAsia="Microsoft YaHei"/>
          <w:b/>
        </w:rPr>
        <w:t>7. Estimates of Critical Upper Maxima ( CT max ) of Kelp Species Are Strongly Influenced by Biogeography and Thermal History</w:t>
      </w:r>
    </w:p>
    <w:p>
      <w:r>
        <w:rPr>
          <w:rFonts w:ascii="Microsoft YaHei" w:hAnsi="Microsoft YaHei" w:eastAsia="Microsoft YaHei"/>
          <w:color w:val="55697D"/>
          <w:sz w:val="18"/>
        </w:rPr>
        <w:t>作者：Tayla Leathers; Nathan G. King; Dan A. Smale</w:t>
      </w:r>
    </w:p>
    <w:p>
      <w:r>
        <w:rPr>
          <w:rFonts w:ascii="Microsoft YaHei" w:hAnsi="Microsoft YaHei" w:eastAsia="Microsoft YaHei"/>
          <w:color w:val="55697D"/>
          <w:sz w:val="18"/>
        </w:rPr>
        <w:t>期刊：Ecology and Evolution</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DOI：10.1002/ece3.74276</w:t>
      </w:r>
    </w:p>
    <w:p>
      <w:r>
        <w:rPr>
          <w:rFonts w:ascii="Microsoft YaHei" w:hAnsi="Microsoft YaHei" w:eastAsia="Microsoft YaHei"/>
          <w:b/>
          <w:sz w:val="19"/>
        </w:rPr>
        <w:t>关键词：marine heatwaves</w:t>
      </w:r>
    </w:p>
    <w:p>
      <w:r>
        <w:rPr>
          <w:rFonts w:ascii="Microsoft YaHei" w:hAnsi="Microsoft YaHei" w:eastAsia="Microsoft YaHei"/>
          <w:sz w:val="17"/>
        </w:rPr>
        <w:t>摘要：实验得出的临界热最大值 (CT max ) 广泛用于估计物种的热耐受性，并越来越多地用于预测它们对长期变暖和热浪的脆弱性。然而，从鱼类和昆虫等模型分类群中积累的证据表明，CT max 是动态的，并且对多种环境和方法因素敏感，可能限制其作为固定物种水平指标的应用。在这里，我们量化了三种栖息地形成的海带物种（指状海带、阔海带和黄海带）的 CT max，这些海带在西英吉利海峡（东北大西洋）的生物地理范围内占据着不同的位置。我们评估了方法论（整株植物与植物）的区别。 切除的分生组织盘）和跨多个时间尺度的热历史（季节性气候和急性海洋热浪，MHW）形成了热上限。分生组织盘提供的 CT max 估计值与两种冷水物种（L. digitalata 和 S. latissima）的整株植物相当，但显着低估了暖亲和物种（L. ochroleuca）的整株植物耐受性。这种差异很可能反映了物种特异性生物学，其中 L. ochroleuca 更强烈地依赖整个生物体整合和内部存储来维持高热性能。季节性气候影响了两种冷水物种的 CT max，秋季相对于春季和夏季显着下降，这与较窄的热安全裕度和夏季累积的应力一致。 暴露于极端模拟 MHW 会导致所有物种的 CT max 大幅下降，其中在 L. ochroleuca 中观察到最大下降 (&gt; 7°C)。总之，这些结果表明 CT max 具有高度可塑性，由物种的生物学特性、方法和热历史决定。将 CT max 视为固定性状可能会错误地反映形成栖息地的海带物种以及最有可能的其他海洋变温动物的种群水平脆弱性。将热历史和有机生物学纳入耐热性评估中，将改善对未来海洋变暖情况下海带物种及其所支撑的生态系统恢复能力的预测。</w:t>
      </w:r>
    </w:p>
    <w:p>
      <w:r>
        <w:rPr>
          <w:rFonts w:ascii="Microsoft YaHei" w:hAnsi="Microsoft YaHei" w:eastAsia="Microsoft YaHei"/>
          <w:color w:val="0563C1"/>
          <w:sz w:val="18"/>
        </w:rPr>
        <w:t>链接：https://doi.org/10.1002/ece3.74276</w:t>
      </w:r>
    </w:p>
    <w:p>
      <w:pPr>
        <w:pStyle w:val="Heading3"/>
      </w:pPr>
      <w:r>
        <w:rPr>
          <w:rFonts w:ascii="Microsoft YaHei" w:hAnsi="Microsoft YaHei" w:eastAsia="Microsoft YaHei"/>
          <w:b/>
        </w:rPr>
        <w:t>8. Ocean Color Indices of Frontal Boundary Movements: A Multi-Sensor View</w:t>
      </w:r>
    </w:p>
    <w:p>
      <w:r>
        <w:rPr>
          <w:rFonts w:ascii="Microsoft YaHei" w:hAnsi="Microsoft YaHei" w:eastAsia="Microsoft YaHei"/>
          <w:color w:val="55697D"/>
          <w:sz w:val="18"/>
        </w:rPr>
        <w:t>作者：Jason K. Jolliff; M. David Lewis; Sherwin D. Ladner; T. Adam Lawson</w:t>
      </w:r>
    </w:p>
    <w:p>
      <w:r>
        <w:rPr>
          <w:rFonts w:ascii="Microsoft YaHei" w:hAnsi="Microsoft YaHei" w:eastAsia="Microsoft YaHei"/>
          <w:color w:val="55697D"/>
          <w:sz w:val="18"/>
        </w:rPr>
        <w:t>期刊：Sensors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DOI：10.3390/s26175641</w:t>
      </w:r>
    </w:p>
    <w:p>
      <w:r>
        <w:rPr>
          <w:rFonts w:ascii="Microsoft YaHei" w:hAnsi="Microsoft YaHei" w:eastAsia="Microsoft YaHei"/>
          <w:b/>
          <w:sz w:val="19"/>
        </w:rPr>
        <w:t>关键词：ocean colour; bio-optics; vertical structure</w:t>
      </w:r>
    </w:p>
    <w:p>
      <w:r>
        <w:rPr>
          <w:rFonts w:ascii="Microsoft YaHei" w:hAnsi="Microsoft YaHei" w:eastAsia="Microsoft YaHei"/>
          <w:sz w:val="17"/>
        </w:rPr>
        <w:t>摘要：在以河流为主的路易斯安那-得克萨斯大陆架 (LTS) 中，强烈且视觉上明显的锋面边界很常见。沿跨大陆架密度梯度的可变风应力作用会导致收敛/发散，从而可能导致快速的垂直水团位移。在近底部陆架水域转移到表面的情况下，相关的光学异常在卫星海洋颜色数据中通常是明显的。利用多个基于卫星的海洋颜色辐射计（OLCI、VIIRS）以及来自对地静止 GOES-R 平台上的高级基线成像仪（ABI）的数据，通过 LTS 检查与近海底通风一致的卫星观测光学特征。 在大气冷锋通过和持续的偏北风之后，综合卫星分析揭示了一个快速向西移动的光学锋面，其轮廓是明显的可见光波段反射率梯度。海洋模型模拟再现了表面密度场的定性相似位移，这与沿锋流的平流一致，并具有来自昼夜加热的潜在调节影响。这项研究是未来地球静止海洋颜色任务可能进行的分析的一个例子。</w:t>
      </w:r>
    </w:p>
    <w:p>
      <w:r>
        <w:rPr>
          <w:rFonts w:ascii="Microsoft YaHei" w:hAnsi="Microsoft YaHei" w:eastAsia="Microsoft YaHei"/>
          <w:color w:val="0563C1"/>
          <w:sz w:val="18"/>
        </w:rPr>
        <w:t>链接：https://doi.org/10.3390/s26175641</w:t>
      </w:r>
    </w:p>
    <w:p>
      <w:pPr>
        <w:pStyle w:val="Heading3"/>
      </w:pPr>
      <w:r>
        <w:rPr>
          <w:rFonts w:ascii="Microsoft YaHei" w:hAnsi="Microsoft YaHei" w:eastAsia="Microsoft YaHei"/>
          <w:b/>
        </w:rPr>
        <w:t>9. Comparative Ecotoxicological Impacts of Traditional and Emerging Microplastics on Marine Zooplankton: Implications for Aquaculture and Coastal Ecosystem Health</w:t>
      </w:r>
    </w:p>
    <w:p>
      <w:r>
        <w:rPr>
          <w:rFonts w:ascii="Microsoft YaHei" w:hAnsi="Microsoft YaHei" w:eastAsia="Microsoft YaHei"/>
          <w:color w:val="55697D"/>
          <w:sz w:val="18"/>
        </w:rPr>
        <w:t>作者：Raj Mahmood Munna; Rassel Mahmood Bulbul</w:t>
      </w:r>
    </w:p>
    <w:p>
      <w:r>
        <w:rPr>
          <w:rFonts w:ascii="Microsoft YaHei" w:hAnsi="Microsoft YaHei" w:eastAsia="Microsoft YaHei"/>
          <w:color w:val="55697D"/>
          <w:sz w:val="18"/>
        </w:rPr>
        <w:t>期刊：Exon</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DOI：10.69936/en14y0026</w:t>
      </w:r>
    </w:p>
    <w:p>
      <w:r>
        <w:rPr>
          <w:rFonts w:ascii="Microsoft YaHei" w:hAnsi="Microsoft YaHei" w:eastAsia="Microsoft YaHei"/>
          <w:b/>
          <w:sz w:val="19"/>
        </w:rPr>
        <w:t>关键词：carbon pump</w:t>
      </w:r>
    </w:p>
    <w:p>
      <w:r>
        <w:rPr>
          <w:rFonts w:ascii="Microsoft YaHei" w:hAnsi="Microsoft YaHei" w:eastAsia="Microsoft YaHei"/>
          <w:sz w:val="17"/>
        </w:rPr>
        <w:t>摘要：当微塑料污染发生时，海洋生态系统的健康受到日益严重的全球性问题的威胁。与经过充分研究的传统石油基聚合物（聚苯乙烯、聚乙烯、聚丙烯）相比，新兴的微塑料（MP），例如可生物降解的生物塑料、轮胎磨损颗粒（TWP）和合成微纤维，带来了独特的风险状况。海洋浮游动物是重要的初级消费者，也是通往更高营养级的关键能源纽带，其中包括对水产养殖具有重要经济意义的物种。本综述总结了当前关于传统和新兴微塑料对海洋浮游动物群落的摄入机制、组织沉积和多层次生态毒理学影响的科学知识。 讨论了微塑料暴露造成的生理和物理破坏，例如氧化应激级联、酶抑制造成的神经毒性、内分泌干扰和生殖障碍。此外，还分析了持久性有机污染物 (POP) 和重金属（“特洛伊木马”效应）以及有毒内源性添加剂（例如邻苯二甲酸盐、双酚、6PPD-醌）的浸出动力学。最后，我们解决了这些颗粒进入沿海水产养殖系统的营养转移问题，这对海鲜安全、可持续性和生物碳泵产生了负面影响，同时提出了结构性缓解和立法解决方案。</w:t>
      </w:r>
    </w:p>
    <w:p>
      <w:r>
        <w:rPr>
          <w:rFonts w:ascii="Microsoft YaHei" w:hAnsi="Microsoft YaHei" w:eastAsia="Microsoft YaHei"/>
          <w:color w:val="0563C1"/>
          <w:sz w:val="18"/>
        </w:rPr>
        <w:t>链接：https://doi.org/10.69936/en14y0026</w:t>
      </w:r>
    </w:p>
    <w:p>
      <w:pPr>
        <w:pStyle w:val="Heading3"/>
      </w:pPr>
      <w:r>
        <w:rPr>
          <w:rFonts w:ascii="Microsoft YaHei" w:hAnsi="Microsoft YaHei" w:eastAsia="Microsoft YaHei"/>
          <w:b/>
        </w:rPr>
        <w:t>10. Assessing Climate Change Impacts on Land Degradation in Mining and Coastal Areas using Multi-Sensor Data and Machine Learning</w:t>
      </w:r>
    </w:p>
    <w:p>
      <w:r>
        <w:rPr>
          <w:rFonts w:ascii="Microsoft YaHei" w:hAnsi="Microsoft YaHei" w:eastAsia="Microsoft YaHei"/>
          <w:color w:val="55697D"/>
          <w:sz w:val="18"/>
        </w:rPr>
        <w:t>作者：Sethuraman S.; Devi S.; Naresh Kumar G.; Kamalakar V.; Shyamala G.; Jyotsna M.</w:t>
      </w:r>
    </w:p>
    <w:p>
      <w:r>
        <w:rPr>
          <w:rFonts w:ascii="Microsoft YaHei" w:hAnsi="Microsoft YaHei" w:eastAsia="Microsoft YaHei"/>
          <w:color w:val="55697D"/>
          <w:sz w:val="18"/>
        </w:rPr>
        <w:t>期刊：Disaster Advances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DOI：10.25303/1910da025035</w:t>
      </w:r>
    </w:p>
    <w:p>
      <w:r>
        <w:rPr>
          <w:rFonts w:ascii="Microsoft YaHei" w:hAnsi="Microsoft YaHei" w:eastAsia="Microsoft YaHei"/>
          <w:b/>
          <w:sz w:val="19"/>
        </w:rPr>
        <w:t>关键词：ocean colour</w:t>
      </w:r>
    </w:p>
    <w:p>
      <w:r>
        <w:rPr>
          <w:rFonts w:ascii="Microsoft YaHei" w:hAnsi="Microsoft YaHei" w:eastAsia="Microsoft YaHei"/>
          <w:sz w:val="17"/>
        </w:rPr>
        <w:t>摘要：自然环境、气候变化和人类活动等因素造成的土地退化加剧是沿海采矿的特点。本研究旨在利用多传感器遥感和机器学习框架，研究印度古吉拉特邦卡奇地区拉赫帕特塔卢卡气候变化引起的土地退化。整合卫星衍生的土地利用/土地覆盖、植被动态、地表温度和环境参数（例如陡度、土壤特性和距采矿的距离），旨在捕捉空间和生物物理变化。本研究的第一个假设是评估气候变化和采矿压力如何促进沿海景观的土地退化。第二个任务是开发机器学习回归模型的集成技术，并评估和比较我们模型的预测能力。 通过随机森林（RF）和极限梯度提升（XGBoost）回归算法对土地退化强度进行建模。在 R²=0 的良好预测能力的条件下，林业使他们对退化水平的预测更加可靠。 9073 且 RMSE=7。 92. XGBoost 在精度和不确定性方面优于 RF，R²=0。 9592，RMSE=6。 02. 这种比较场景测试了梯度提升作为真正捕捉气候、采矿和沿海因素之间非线性关系的最佳模型。此外，这种方法还宣传了基于证据的土地管理战略和生态敏感沿海矿区的气候适应规划。</w:t>
      </w:r>
    </w:p>
    <w:p>
      <w:r>
        <w:rPr>
          <w:rFonts w:ascii="Microsoft YaHei" w:hAnsi="Microsoft YaHei" w:eastAsia="Microsoft YaHei"/>
          <w:color w:val="0563C1"/>
          <w:sz w:val="18"/>
        </w:rPr>
        <w:t>链接：https://doi.org/10.25303/1910da025035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