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检索日期：2026-10-26 | GitHub Actions 自动生成</w:t>
      </w:r>
    </w:p>
    <w:p>
      <w:pPr>
        <w:pStyle w:val="Heading1"/>
      </w:pPr>
      <w:r>
        <w:t>今日总览</w:t>
      </w:r>
    </w:p>
    <w:p>
      <w:r>
        <w:rPr>
          <w:rFonts w:ascii="Microsoft YaHei" w:hAnsi="Microsoft YaHei" w:eastAsia="Microsoft YaHei"/>
        </w:rPr>
        <w:t>历史去重后今日新增 7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Biogeochemical controls on the concentrations and stable isotope compositions of sea-ice particulate organic matters in the Southern Ocean</w:t>
      </w:r>
    </w:p>
    <w:p>
      <w:r>
        <w:rPr>
          <w:rFonts w:ascii="Microsoft YaHei" w:hAnsi="Microsoft YaHei" w:eastAsia="Microsoft YaHei"/>
          <w:color w:val="55697D"/>
          <w:sz w:val="18"/>
        </w:rPr>
        <w:t>作者：Keigo D. Takahashi; Ryosuke Makabe; Masayoshi Sano; Kazuki Nakata; Noriaki Kimura; Daiki Nomura; Michiyo Yamamoto-Kawai; Ryo Matsuda; et al.</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DOI：10.5194/bg-23-7505-2026</w:t>
      </w:r>
    </w:p>
    <w:p>
      <w:r>
        <w:rPr>
          <w:rFonts w:ascii="Microsoft YaHei" w:hAnsi="Microsoft YaHei" w:eastAsia="Microsoft YaHei"/>
          <w:b/>
          <w:sz w:val="19"/>
        </w:rPr>
        <w:t>关键词：carbon pump</w:t>
      </w:r>
    </w:p>
    <w:p>
      <w:r>
        <w:rPr>
          <w:rFonts w:ascii="Microsoft YaHei" w:hAnsi="Microsoft YaHei" w:eastAsia="Microsoft YaHei"/>
          <w:sz w:val="17"/>
        </w:rPr>
        <w:t>摘要：南大洋的初级生产和浮游动物生命周期与季节性海冰融化同步，在此期间，包括冰藻在内的颗粒有机碳（POC）和氮（PN）从海冰供应到水柱中。为了了解生产性边缘冰区食物网中的碳流，有必要确定海冰中有机碳和氮的数量和质量。然而，尽管碎海冰是南极冰缘的主要形式，但有关碎海冰的知识却很少。在这项研究中，夏季从印度地区（东经 20-160°）采集了 102 个海冰样本，以澄清同位素基线的变化以及海冰衍生的碳和氮对水柱的潜在贡献。所有海冰颗粒物样品的δ 13 C 和δ 15 N 值为-24。 6±3。 2‰和+1。 5±2。 2 ‰（平均值±标准差），与海水相比显示出更大的变异性（δ 13 C 为-28. 8±1. 0 ‰，δ 15 N 为-0. 5±1. 4 ‰）。我们确定了 δ 13 C 和 δ 15 N 与有机物和营养物浓度及其比率（例如硅酸盐：硝酸盐）的相关性，表明营养物消耗和有机物分解影响海冰中的这些同位素特征。利用海冰融化产生的淡水通量和测量的海冰 POC 浓度，POC 供应量估计为 4. 1±0. 3 Tg C yr -1 ，相当于14。7±2。 8%的初级生产力来自研究区域的边缘冰区。 这一结果表明，海冰融化提供了很大一部分有机物，可能支持季节性海冰区的南极生态系统，这可以通过海冰和海水稳定同位素组成的差异来追踪。</w:t>
      </w:r>
    </w:p>
    <w:p>
      <w:r>
        <w:rPr>
          <w:rFonts w:ascii="Microsoft YaHei" w:hAnsi="Microsoft YaHei" w:eastAsia="Microsoft YaHei"/>
          <w:color w:val="0563C1"/>
          <w:sz w:val="18"/>
        </w:rPr>
        <w:t>链接：https://doi.org/10.5194/bg-23-7505-2026</w:t>
      </w:r>
    </w:p>
    <w:p>
      <w:pPr>
        <w:pStyle w:val="Heading3"/>
      </w:pPr>
      <w:r>
        <w:rPr>
          <w:rFonts w:ascii="Microsoft YaHei" w:hAnsi="Microsoft YaHei" w:eastAsia="Microsoft YaHei"/>
          <w:b/>
        </w:rPr>
        <w:t>2. Multi-source satellite remote sensing of harmful algal blooms in the East China Sea: cross-sensor comparison of GOCI, Sentinel-2 and Sentinel-3</w:t>
      </w:r>
    </w:p>
    <w:p>
      <w:r>
        <w:rPr>
          <w:rFonts w:ascii="Microsoft YaHei" w:hAnsi="Microsoft YaHei" w:eastAsia="Microsoft YaHei"/>
          <w:color w:val="55697D"/>
          <w:sz w:val="18"/>
        </w:rPr>
        <w:t>作者：Chengxin Zhang; Honghua Shi</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DOI：10.3389/fmars.2026.1966777</w:t>
      </w:r>
    </w:p>
    <w:p>
      <w:r>
        <w:rPr>
          <w:rFonts w:ascii="Microsoft YaHei" w:hAnsi="Microsoft YaHei" w:eastAsia="Microsoft YaHei"/>
          <w:b/>
          <w:sz w:val="19"/>
        </w:rPr>
        <w:t>关键词：ocean colour; bio-optics</w:t>
      </w:r>
    </w:p>
    <w:p>
      <w:r>
        <w:rPr>
          <w:rFonts w:ascii="Microsoft YaHei" w:hAnsi="Microsoft YaHei" w:eastAsia="Microsoft YaHei"/>
          <w:sz w:val="17"/>
        </w:rPr>
        <w:t>摘要：简介 有害藻华 (HAB) 是反复出现的沿海生态危害，威胁着水产养殖、海洋生态系统和近岸环境安全。卫星遥感为HAB监测提供了必要的观测能力；然而，对地静止 GOCI-II 和极轨道 Sentinel-2 MSI / Sentinel-3 OLCI 之间针对相同水华事件的系统定量相互比较仍然有限。本研究探讨了这三种海洋颜色传感器在东海 HAB 观测中的互补优势和局限性。方法 我们选择了 2021 年东海发生的两起有据可查的 HAB 事件（4 月 30 日和 9 月 22 日）。 GOCI-II、Sentinel-2 MSI 和 Sentinel-3 OLCI 数据集使用传感器匹配的大气校正方案进行处理（标准 GOCI-II 海洋颜色处理、Sentinel-2 的 ACOLITE-DSF、Sentinel-3 OLCI 的 C2RCC）。 NDCI、RBD、NRTI、RAB、PDI 和 DI 六种光谱指数用于水华检测。 在 20 m、300 m 和 500 m 处进行了空间退化实验，以分离几何尺度相关对水华面积和边界表示的影响。 进行近乎同步的立交桥比较和每小时的 GOCI-II 时间序列跟踪，以量化传感器间差异和日内水华动态。 结果 2021 年 4 月 30 日，在大约 10 分钟的近乎重合的立交桥下，GOCI-II 绘制了 901 个水华区域。 52 平方公里与 571 平方公里。 距 Sentinel-2B 52 平方公里；差异主要源于空间分辨率、光谱配置、大气校正和探测阈值，而水华平流影响较小。 2021 年 9 月 22 日，每小时 GOCI-II 观测捕获了完整的日内光华周期：光华光学异常面积从 37. 30 平方公里变化到峰值 760. 20 平方公里，然后下降到 107. 67 平方公里，伴随着 45. 74 公里的质心位移，这是一种单一极轨快照仅部分捕获的动态。空间退化分析表明，在较粗的分辨率下，边界长度损失超过 76% – 85%，而总面积偏差范围为 -14。 8% 至 +11。 0 %，凸显了 Sentinel-2 在精细近岸边界划定方面的独特价值。 即使在分辨率归一化之后，传感器布隆产品之间仍然存在严重的空间不匹配（IoU 低至 0. 014）。讨论 各个传感器表现出不同的权衡：GOCI-II 提供高频时间筛选，Sentinel-2 提供精细尺度的空间细节，Sentinel-3 OLCI 为区域背景分析提供丰富的光谱信息。因此，我们提出了一个有条件的三阶段多源协同工作流程：GOCI-II用于每小时快速筛选和漂移跟踪，Sentinel-2 MSI用于优先区域精细检测，Sentinel-3 OLCI用于区域光谱验证和跨传感器一致性检查。传感器之间的差异源于光谱带配置、大气校正、指数阈值和采样定时的综合影响。 局限性包括仅分析了两次光晕事件，并且缺乏密集的像素级原位地面实况。需要通过协调大气校正进行进一步的多事件验证，以推广这种条件监测模板，用于光学复杂的东亚沿海水域的HAB预警。</w:t>
      </w:r>
    </w:p>
    <w:p>
      <w:r>
        <w:rPr>
          <w:rFonts w:ascii="Microsoft YaHei" w:hAnsi="Microsoft YaHei" w:eastAsia="Microsoft YaHei"/>
          <w:color w:val="0563C1"/>
          <w:sz w:val="18"/>
        </w:rPr>
        <w:t>链接：https://doi.org/10.3389/fmars.2026.1966777</w:t>
      </w:r>
    </w:p>
    <w:p>
      <w:pPr>
        <w:pStyle w:val="Heading2"/>
      </w:pPr>
      <w:r>
        <w:t>重点关注团队</w:t>
      </w:r>
    </w:p>
    <w:p>
      <w:pPr>
        <w:pStyle w:val="Heading3"/>
      </w:pPr>
      <w:r>
        <w:rPr>
          <w:rFonts w:ascii="Microsoft YaHei" w:hAnsi="Microsoft YaHei" w:eastAsia="Microsoft YaHei"/>
          <w:b/>
        </w:rPr>
        <w:t>3. Temporal Transcriptomic Responses of Turbinaria peltata to Repeated Marine Heatwaves and Recovery Cycles</w:t>
      </w:r>
    </w:p>
    <w:p>
      <w:r>
        <w:rPr>
          <w:rFonts w:ascii="Microsoft YaHei" w:hAnsi="Microsoft YaHei" w:eastAsia="Microsoft YaHei"/>
          <w:color w:val="55697D"/>
          <w:sz w:val="18"/>
        </w:rPr>
        <w:t>作者：Yanping Zhang; Yulu Sun; Xin Zhai; Jie Zhou; Li Liu</w:t>
      </w:r>
    </w:p>
    <w:p>
      <w:r>
        <w:rPr>
          <w:rFonts w:ascii="Microsoft YaHei" w:hAnsi="Microsoft YaHei" w:eastAsia="Microsoft YaHei"/>
          <w:color w:val="55697D"/>
          <w:sz w:val="18"/>
        </w:rPr>
        <w:t>期刊：Biology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DOI：10.3390/biology15211929</w:t>
      </w:r>
    </w:p>
    <w:p>
      <w:r>
        <w:rPr>
          <w:rFonts w:ascii="Microsoft YaHei" w:hAnsi="Microsoft YaHei" w:eastAsia="Microsoft YaHei"/>
          <w:b/>
          <w:sz w:val="19"/>
        </w:rPr>
        <w:t>关键词：marine heatwaves</w:t>
      </w:r>
    </w:p>
    <w:p>
      <w:r>
        <w:rPr>
          <w:rFonts w:ascii="Microsoft YaHei" w:hAnsi="Microsoft YaHei" w:eastAsia="Microsoft YaHei"/>
          <w:sz w:val="17"/>
        </w:rPr>
        <w:t>摘要：海洋热浪（MHW）对珊瑚礁生态系统的威胁不断升级，但对反复热应激的适应背后的宿主转录组机制仍知之甚少。利用 de novo RNA 测序，我们追踪了石珊瑚纲珊瑚 Turbinaria peltata 在两个连续 MHW 恢复周期中的时间转录组反应。第二次热浪引发的差异表达基因 (DEG) 少于第一次（279 对 379），而第二次恢复阶段则显示出最大的 DEG 集（399）。从功能上讲，第一次热浪引发了急性应激防御和信号抑制，而第一次恢复则涉及细胞外基质重塑和钙介导的组织修复，表明恢复不完全。 第二次恢复期间最大的 DEG 集表明，反复出现的热应激会带来累积的生理成本，需要更广泛的分子重组——涵盖代谢重编程、mTOR 和 Wnt 信号传导以及持续的氧化应激管理。结合该物种先前的生理和微生物组证据，我们的结果支持了一个模型，在该模型中，反复的热暴露逐渐使珊瑚宿主从急性休克防御反应转向补偿性代谢和结构修复。因此，在经常性的 MHW 制度下，恢复是一种积极但成本日益增加的分子调整。这些发现确定了在强化 MHW 制度下评估珊瑚恢复能力的候选分子标记。</w:t>
      </w:r>
    </w:p>
    <w:p>
      <w:r>
        <w:rPr>
          <w:rFonts w:ascii="Microsoft YaHei" w:hAnsi="Microsoft YaHei" w:eastAsia="Microsoft YaHei"/>
          <w:color w:val="0563C1"/>
          <w:sz w:val="18"/>
        </w:rPr>
        <w:t>链接：https://doi.org/10.3390/biology15211929</w:t>
      </w:r>
    </w:p>
    <w:p>
      <w:pPr>
        <w:pStyle w:val="Heading3"/>
      </w:pPr>
      <w:r>
        <w:rPr>
          <w:rFonts w:ascii="Microsoft YaHei" w:hAnsi="Microsoft YaHei" w:eastAsia="Microsoft YaHei"/>
          <w:b/>
        </w:rPr>
        <w:t>4. Research on Using Ground-Based K-Band Radiometers for Remote Sensing to Track Atmospheric Ducts over the Sea</w:t>
      </w:r>
    </w:p>
    <w:p>
      <w:r>
        <w:rPr>
          <w:rFonts w:ascii="Microsoft YaHei" w:hAnsi="Microsoft YaHei" w:eastAsia="Microsoft YaHei"/>
          <w:color w:val="55697D"/>
          <w:sz w:val="18"/>
        </w:rPr>
        <w:t>作者：Tingting Shu; Qinglin Zhu; Xiang Dong; Houcai Chen; Shoubao Zhang; Qidong Chen; Changsheng Lu; Fang Sun</w:t>
      </w:r>
    </w:p>
    <w:p>
      <w:r>
        <w:rPr>
          <w:rFonts w:ascii="Microsoft YaHei" w:hAnsi="Microsoft YaHei" w:eastAsia="Microsoft YaHei"/>
          <w:color w:val="55697D"/>
          <w:sz w:val="18"/>
        </w:rPr>
        <w:t>期刊：Atmosphere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DOI：10.3390/atmos17111049</w:t>
      </w:r>
    </w:p>
    <w:p>
      <w:r>
        <w:rPr>
          <w:rFonts w:ascii="Microsoft YaHei" w:hAnsi="Microsoft YaHei" w:eastAsia="Microsoft YaHei"/>
          <w:b/>
          <w:sz w:val="19"/>
        </w:rPr>
        <w:t>关键词：ocean colour</w:t>
      </w:r>
    </w:p>
    <w:p>
      <w:r>
        <w:rPr>
          <w:rFonts w:ascii="Microsoft YaHei" w:hAnsi="Microsoft YaHei" w:eastAsia="Microsoft YaHei"/>
          <w:sz w:val="17"/>
        </w:rPr>
        <w:t>摘要：本文提出了一种利用K波段地基微波辐射计对大气波导进行遥感和监测的新方法。阐述了利用K波段地基微波辐射计监测大气波导的原理，阐明了海洋大气波导的形成机制以及与之相关的电磁波大气波导现象。根据K波段地基微波辐射计的探测特性，计算K波段地基微波辐射计在海面的发射率，并利用获得的发射率来判断海上是否出现大气波导。当微波范围内的海洋发射率(η)不在0. 3和0. 9之间时，判断海上发生大气波导。 否则，判断海上不存在大气波导。本文验证了在相关领域利用K波段地基微波辐射计对海上大气波导进行实时监测的可行性和有效性。解决了现有大气管道监测设备容易暴露目标、难以全天实时监测的问题。</w:t>
      </w:r>
    </w:p>
    <w:p>
      <w:r>
        <w:rPr>
          <w:rFonts w:ascii="Microsoft YaHei" w:hAnsi="Microsoft YaHei" w:eastAsia="Microsoft YaHei"/>
          <w:color w:val="0563C1"/>
          <w:sz w:val="18"/>
        </w:rPr>
        <w:t>链接：https://doi.org/10.3390/atmos17111049</w:t>
      </w:r>
    </w:p>
    <w:p>
      <w:pPr>
        <w:pStyle w:val="Heading2"/>
      </w:pPr>
      <w:r>
        <w:t>其他相关期刊：按主题相关性补充</w:t>
      </w:r>
    </w:p>
    <w:p>
      <w:pPr>
        <w:pStyle w:val="Heading3"/>
      </w:pPr>
      <w:r>
        <w:rPr>
          <w:rFonts w:ascii="Microsoft YaHei" w:hAnsi="Microsoft YaHei" w:eastAsia="Microsoft YaHei"/>
          <w:b/>
        </w:rPr>
        <w:t>5. Operational monitoring of urban coastal pollution: integrating satellite remote sensing and machine learning to manage turbid and suspected sewage plumes</w:t>
      </w:r>
    </w:p>
    <w:p>
      <w:r>
        <w:rPr>
          <w:rFonts w:ascii="Microsoft YaHei" w:hAnsi="Microsoft YaHei" w:eastAsia="Microsoft YaHei"/>
          <w:color w:val="55697D"/>
          <w:sz w:val="18"/>
        </w:rPr>
        <w:t>作者：Logesh Natarajan; Muthukumar Chandrasekaran; Chinmay Shah; Manigandan Vajravelu; Sanitha K. Sivadas; Karri Ramu; R. S. Kankara</w:t>
      </w:r>
    </w:p>
    <w:p>
      <w:r>
        <w:rPr>
          <w:rFonts w:ascii="Microsoft YaHei" w:hAnsi="Microsoft YaHei" w:eastAsia="Microsoft YaHei"/>
          <w:color w:val="55697D"/>
          <w:sz w:val="18"/>
        </w:rPr>
        <w:t>期刊：Anthropocene Coasts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DOI：10.1007/s44218-026-00157-6</w:t>
      </w:r>
    </w:p>
    <w:p>
      <w:r>
        <w:rPr>
          <w:rFonts w:ascii="Microsoft YaHei" w:hAnsi="Microsoft YaHei" w:eastAsia="Microsoft YaHei"/>
          <w:b/>
          <w:sz w:val="19"/>
        </w:rPr>
        <w:t>关键词：phytoplankton; ocean colour; ocean optics; bio-optics</w:t>
      </w:r>
    </w:p>
    <w:p>
      <w:r>
        <w:rPr>
          <w:rFonts w:ascii="Microsoft YaHei" w:hAnsi="Microsoft YaHei" w:eastAsia="Microsoft YaHei"/>
          <w:sz w:val="17"/>
        </w:rPr>
        <w:t>摘要：城市沿海污染的有效管理往往因无法跟踪小溪和运河废水羽流的空间和季节动态而受到阻碍。本研究通过开发和验证基于卫星的运营监测框架来解决这一管理差距，该框架针对金奈大都市的一条受污染小溪以及印度孟加拉湾的邻近沿海水域。本研究使用 2023 年 1 月至 2025 年 12 月的每月一云无云数据评估了水质和羽流动态。使用案例 2 区域海岸颜色处理器处理卫星衍生的叶绿素-a 和总悬浮物，并使用半经验算法估计浊度。回收的产品根据两个不同现场活动的同步现场测量进行了验证，显示出很强的正相关性。 时间序列分析显示，旱季出现低浊度或无羽流事件，而东北季风季节（10 月至 12 月）出现大量高浑浊羽流，观察到羽流延伸至近海 5 公里。使用来自代表性高排放（2024 年 11 月 15 日）事件的超过 80,000 个遥感反射光谱的无监督 K-means++ 聚类来训练随机森林分类器，产生 14 种光谱不同的光学水类型，从清澈的海水到以红色和近红外反射率升高为特征的异常污染类型。这种混合方法为沿海排放的空间检测和监测提供了一个强大的框架。该框架能够对污染事件进行早期预警，支持环境法规的合规性跟踪，并允许采取有针对性的干预措施来减少生态影响。 这种方法展示了如何利用现有的卫星数据和机器学习来改善面临类似挑战的快速城市化地区的沿海水质管理。</w:t>
      </w:r>
    </w:p>
    <w:p>
      <w:r>
        <w:rPr>
          <w:rFonts w:ascii="Microsoft YaHei" w:hAnsi="Microsoft YaHei" w:eastAsia="Microsoft YaHei"/>
          <w:color w:val="0563C1"/>
          <w:sz w:val="18"/>
        </w:rPr>
        <w:t>链接：https://doi.org/10.1007/s44218-026-00157-6</w:t>
      </w:r>
    </w:p>
    <w:p>
      <w:pPr>
        <w:pStyle w:val="Heading3"/>
      </w:pPr>
      <w:r>
        <w:rPr>
          <w:rFonts w:ascii="Microsoft YaHei" w:hAnsi="Microsoft YaHei" w:eastAsia="Microsoft YaHei"/>
          <w:b/>
        </w:rPr>
        <w:t>6. Toward satellite-based growth prediction for mussel aquaculture in Turkish coastal waters: A Dynamic Energy Budget model with an empirically calibrated food parameter</w:t>
      </w:r>
    </w:p>
    <w:p>
      <w:r>
        <w:rPr>
          <w:rFonts w:ascii="Microsoft YaHei" w:hAnsi="Microsoft YaHei" w:eastAsia="Microsoft YaHei"/>
          <w:color w:val="55697D"/>
          <w:sz w:val="18"/>
        </w:rPr>
        <w:t>作者：Cem Hasşerbetçi; Gökhan Tunçelli; İdil Can-Tunçelli</w:t>
      </w:r>
    </w:p>
    <w:p>
      <w:r>
        <w:rPr>
          <w:rFonts w:ascii="Microsoft YaHei" w:hAnsi="Microsoft YaHei" w:eastAsia="Microsoft YaHei"/>
          <w:color w:val="55697D"/>
          <w:sz w:val="18"/>
        </w:rPr>
        <w:t>期刊：Ege Journal of Fisheries and Aquatic 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DOI：10.12714/egejfas.43.4.06</w:t>
      </w:r>
    </w:p>
    <w:p>
      <w:r>
        <w:rPr>
          <w:rFonts w:ascii="Microsoft YaHei" w:hAnsi="Microsoft YaHei" w:eastAsia="Microsoft YaHei"/>
          <w:b/>
          <w:sz w:val="19"/>
        </w:rPr>
        <w:t>关键词：phytoplankton; ocean colour</w:t>
      </w:r>
    </w:p>
    <w:p>
      <w:r>
        <w:rPr>
          <w:rFonts w:ascii="Microsoft YaHei" w:hAnsi="Microsoft YaHei" w:eastAsia="Microsoft YaHei"/>
          <w:sz w:val="17"/>
        </w:rPr>
        <w:t>摘要：地中海贻贝是土耳其沿海水域主要养殖的双壳类动物，利用卫星海洋颜色强制的动态能量预算 (DEB) 模型为生长预测提供了一种低成本途径。实际上，已发布的参数集低估了沿海环境中贝壳的生长，其原因尚未解决。我们针对土耳其的 10 个养成实验（爱琴海、达达尼尔海峡、马尔马拉海和黑海的 43 个队列组）测试了已发表的协变方法 DEB 参数化，并强制重新分析培养深度的海面温度和卫星 4 级叶绿素-a。按照公布的应用 (XK=2,1 µg L-1)，模型在每次实验中都低于预测（RMSE 19. 8 mm，偏差 mm）。在不改变生物参数的情况下，仅重新校准半饱和常数，将误差降低至 12. 7 mm (95% CI 8. 1–17. 9) 在留一实验交叉验证下，每个数据衍生的选择都在每个折叠内重新安装，并且比卫星与原位比率校正高 4. 5 毫米。然后，我们测试了对这一改进的测量尺度解释，但没有找到对其的支持：在原位叶绿素及时解析的一个地点，产品观察该地点本身，该比率在季节之间变化三倍，重新调整 XK 在代数上与重新调整强迫相同，并且在两个地点，产品在部署时根本没有返回有效的检索。因此，修正后的模型是一种经验强迫背景校准，其残差吸收了未建模的食品质量和文化系统的影响，而不是测量尺度的转换。它的局限性同样重要：接近于零的总体偏差掩盖了每次实验的平均绝对偏差 9。 6 毫米，并且在不使用叶绿素或不使用模型的情况下，无法根据基线证明站点排名技能。卫星强制DEB可以在校准后重现土耳其贻贝生长的集中趋势，但尚未解决养殖场选址所依赖的站点间差异。</w:t>
      </w:r>
    </w:p>
    <w:p>
      <w:r>
        <w:rPr>
          <w:rFonts w:ascii="Microsoft YaHei" w:hAnsi="Microsoft YaHei" w:eastAsia="Microsoft YaHei"/>
          <w:color w:val="0563C1"/>
          <w:sz w:val="18"/>
        </w:rPr>
        <w:t>链接：https://doi.org/10.12714/egejfas.43.4.06</w:t>
      </w:r>
    </w:p>
    <w:p>
      <w:pPr>
        <w:pStyle w:val="Heading3"/>
      </w:pPr>
      <w:r>
        <w:rPr>
          <w:rFonts w:ascii="Microsoft YaHei" w:hAnsi="Microsoft YaHei" w:eastAsia="Microsoft YaHei"/>
          <w:b/>
        </w:rPr>
        <w:t>7. Artificial upwelling via Stommel pipes under present and future climate conditions: an Earth system model assessment</w:t>
      </w:r>
    </w:p>
    <w:p>
      <w:r>
        <w:rPr>
          <w:rFonts w:ascii="Microsoft YaHei" w:hAnsi="Microsoft YaHei" w:eastAsia="Microsoft YaHei"/>
          <w:color w:val="55697D"/>
          <w:sz w:val="18"/>
        </w:rPr>
        <w:t>作者：Malte Jürchott; Jost Kemper</w:t>
      </w:r>
    </w:p>
    <w:p>
      <w:r>
        <w:rPr>
          <w:rFonts w:ascii="Microsoft YaHei" w:hAnsi="Microsoft YaHei" w:eastAsia="Microsoft YaHei"/>
          <w:color w:val="55697D"/>
          <w:sz w:val="18"/>
        </w:rPr>
        <w:t>期刊：Frontiers in Climate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DOI：10.3389/fclim.2026.1938661</w:t>
      </w:r>
    </w:p>
    <w:p>
      <w:r>
        <w:rPr>
          <w:rFonts w:ascii="Microsoft YaHei" w:hAnsi="Microsoft YaHei" w:eastAsia="Microsoft YaHei"/>
          <w:b/>
          <w:sz w:val="19"/>
        </w:rPr>
        <w:t>关键词：ocean biogeochemistry</w:t>
      </w:r>
    </w:p>
    <w:p>
      <w:r>
        <w:rPr>
          <w:rFonts w:ascii="Microsoft YaHei" w:hAnsi="Microsoft YaHei" w:eastAsia="Microsoft YaHei"/>
          <w:sz w:val="17"/>
        </w:rPr>
        <w:t>摘要：人工上升流已被提议作为一种海洋二氧化碳去除（CDR）方法，以增强海洋碳汇。然而，人工上升流会通过冷水上升扰乱海洋温跃层，如果使用 e 的话。 g。 ，波浪驱动管道。大规模海洋温跃层破坏将在管道部署期间和管道终止后对地球能量平衡和全球碳循环造成严重后果。实现人工上升流的另一种方法是逆流斯托梅尔管。这些管道在特定的盐度和温度条件下通过两股流之间的有效热交换建立自持上升流和同步下降流，从而减轻直接海洋温跃层破坏风险。 在本研究中，我们模拟了管道长度为 303、643 和 1,103 m 的特定 Stommel 管道设计，假设高热交换效率，并通过 2025 年至 2100 年地球系统气候模型中的最大技术潜力方法，在未来低和高 CO 2 排放路径下，评估当前和未来的管道性能以及对地球系统的影响，并将这些结果与波浪驱动管道的预期影响进行比较。我们发现大西洋和太平洋副热带环流中心的持续上升流强度高达 0. 45 m 3 /s/管道，并且海洋净初级生产力总体上依赖上升流增加。在我们的高热交换效率假设下，斯托梅尔管上升流并没有直接破坏海洋温跃层，而是导致海洋分层的区域性增加，这主要是由于盐度重新分布。 内部海洋营养物和DIC同时上升到地表导致了CO 2 排放路径和上升流强度依赖的净CO 2 向大气的排放，主要由南太平洋地区驱动（−249. 0 Tg C/yr 2030），而北大西洋在较低的上升流强度情景下响应，CO 2 吸收量较小（+7. 1 Tg C/yr 2030）。总之，在高热交换效率假设下，Stommel 管道可以在区域内产生相当大的上升流，而不会造成直接的温跃层破坏，但如果作为独立方法进行模拟，则具有特定区域低至负的海洋 CDR 潜力。</w:t>
      </w:r>
    </w:p>
    <w:p>
      <w:r>
        <w:rPr>
          <w:rFonts w:ascii="Microsoft YaHei" w:hAnsi="Microsoft YaHei" w:eastAsia="Microsoft YaHei"/>
          <w:color w:val="0563C1"/>
          <w:sz w:val="18"/>
        </w:rPr>
        <w:t>链接：https://doi.org/10.3389/fclim.2026.1938661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