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检索日期：2026-08-31 | GitHub Actions 自动生成</w:t>
      </w:r>
    </w:p>
    <w:p>
      <w:pPr>
        <w:pStyle w:val="Heading1"/>
      </w:pPr>
      <w:r>
        <w:t>今日总览</w:t>
      </w:r>
    </w:p>
    <w:p>
      <w:r>
        <w:rPr>
          <w:rFonts w:ascii="Microsoft YaHei" w:hAnsi="Microsoft YaHei" w:eastAsia="Microsoft YaHei"/>
        </w:rPr>
        <w:t>历史去重后今日新增 5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Bias-Aware Machine Learning Spatial Downscaling of GRACE Signals: Application to the Bug River Basin</w:t>
      </w:r>
    </w:p>
    <w:p>
      <w:r>
        <w:rPr>
          <w:rFonts w:ascii="Microsoft YaHei" w:hAnsi="Microsoft YaHei" w:eastAsia="Microsoft YaHei"/>
          <w:color w:val="55697D"/>
          <w:sz w:val="18"/>
        </w:rPr>
        <w:t>作者：Vytautas Samalavičius; Tatiana Solovey; Justyna Śliwińska-Bronowicz; Anna Stradczuk; Ilya Zaslavsky</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DOI：10.3390/rs18172909</w:t>
      </w:r>
    </w:p>
    <w:p>
      <w:r>
        <w:rPr>
          <w:rFonts w:ascii="Microsoft YaHei" w:hAnsi="Microsoft YaHei" w:eastAsia="Microsoft YaHei"/>
          <w:b/>
          <w:sz w:val="19"/>
        </w:rPr>
        <w:t>关键词：ocean biogeochemistry</w:t>
      </w:r>
    </w:p>
    <w:p>
      <w:r>
        <w:rPr>
          <w:rFonts w:ascii="Microsoft YaHei" w:hAnsi="Microsoft YaHei" w:eastAsia="Microsoft YaHei"/>
          <w:sz w:val="17"/>
        </w:rPr>
        <w:t>摘要：GRACE和GRACE-FO卫星重力测量提供了对陆地水储量（TWS）的独特观测，但其粗略的有效分辨率和间歇性的时间间隙限制了次区域和流域尺度的水资源应用。这项研究提出了一个框架，用于在时间上重建和在空间上缩小跨界布格河流域（波兰-乌克兰-白俄罗斯）的 GRACE TWS 异常，该地区的原位监测受到限制，并因 2022 年乌克兰战争而进一步中断。首先，使用仅由滞后 GRACE 值（1-3 个月）和季节时间驱动的随机森林模型来估算缺失的每月 GRACE TWS 异常（2002-2024 年），从而避免潜在的信息泄漏。其次，连续的 GRACE 信号被缩小到 0。 1° 使用一组独立的水文气候预测器，具有滞后和滚动特征，以及海拔、土地类型和岩性。模型性能是在严格的时空保留和交叉验证下评估的。关键的方法论进步是一种偏差感知、分块质量守恒校正，可以在粗分辨率下协调缩小的场与原始 GRACE 水质量。缩小到 0. 1° 后，每月对汇总的高分辨率估计值和 GRACE 观测值之间的系统残留偏差进行量化，并使用基于河流径流的权重在空间块内重新分配。该过程强制执行精确的质量闭合，同时保留物理上有意义的子网格可变性。</w:t>
      </w:r>
    </w:p>
    <w:p>
      <w:r>
        <w:rPr>
          <w:rFonts w:ascii="Microsoft YaHei" w:hAnsi="Microsoft YaHei" w:eastAsia="Microsoft YaHei"/>
          <w:color w:val="0563C1"/>
          <w:sz w:val="18"/>
        </w:rPr>
        <w:t>链接：https://doi.org/10.3390/rs18172909</w:t>
      </w:r>
    </w:p>
    <w:p>
      <w:pPr>
        <w:pStyle w:val="Heading2"/>
      </w:pPr>
      <w:r>
        <w:t>其他相关期刊：按主题相关性补充</w:t>
      </w:r>
    </w:p>
    <w:p>
      <w:pPr>
        <w:pStyle w:val="Heading3"/>
      </w:pPr>
      <w:r>
        <w:rPr>
          <w:rFonts w:ascii="Microsoft YaHei" w:hAnsi="Microsoft YaHei" w:eastAsia="Microsoft YaHei"/>
          <w:b/>
        </w:rPr>
        <w:t>2. An Ecotoxicological Perspective on Bivalve Safety Frameworks: Linking HAB Management and Microbiological Limits to Physiological Responses in Shellfish</w:t>
      </w:r>
    </w:p>
    <w:p>
      <w:r>
        <w:rPr>
          <w:rFonts w:ascii="Microsoft YaHei" w:hAnsi="Microsoft YaHei" w:eastAsia="Microsoft YaHei"/>
          <w:color w:val="55697D"/>
          <w:sz w:val="18"/>
        </w:rPr>
        <w:t>作者：Dionysia Mintza; John A. Theodorou</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DOI：10.3390/jmse14171592</w:t>
      </w:r>
    </w:p>
    <w:p>
      <w:r>
        <w:rPr>
          <w:rFonts w:ascii="Microsoft YaHei" w:hAnsi="Microsoft YaHei" w:eastAsia="Microsoft YaHei"/>
          <w:b/>
          <w:sz w:val="19"/>
        </w:rPr>
        <w:t>关键词：marine heatwaves</w:t>
      </w:r>
    </w:p>
    <w:p>
      <w:r>
        <w:rPr>
          <w:rFonts w:ascii="Microsoft YaHei" w:hAnsi="Microsoft YaHei" w:eastAsia="Microsoft YaHei"/>
          <w:sz w:val="17"/>
        </w:rPr>
        <w:t>摘要：有害藻华 (HAB) 对双壳类软体动物及其消费者构成了日益严重的生态毒理学威胁。然而，目前管理贝类安全的监管框架依赖于急性人类毒性限制，很难捕捉到双壳类与HAB相互作用的生物复杂性。这篇叙述性综述综合了有关 HAB 毒素对双壳类动物影响的已发表文献。它评估了他们的生理机能、免疫功能和压力恢复能力，并将这些发现与欧盟、美国和澳大利亚/新西兰设定的限制进行比较。免疫抑制和生殖受损对氧化应激和瓣膜活性改变的亚致死反应经常发生在低于当前作用水平的浓度下。 海洋热浪、盐度波动和缺氧等环境变量以现有安全限值无法捕获的方式改变毒素的生物累积和净化。主要毒素组、其作用机制以及物种特异性积累和消除动力学与当前的监测和管理策略一起进行了检查。审查得出的结论是，弥合贝类安全监管和双壳类生态毒理学之间的差距需要将生理应激指标纳入监管框架。这种整合必须利用先进的监测技术和能够应对快速变化的海洋的适应性管理。</w:t>
      </w:r>
    </w:p>
    <w:p>
      <w:r>
        <w:rPr>
          <w:rFonts w:ascii="Microsoft YaHei" w:hAnsi="Microsoft YaHei" w:eastAsia="Microsoft YaHei"/>
          <w:color w:val="0563C1"/>
          <w:sz w:val="18"/>
        </w:rPr>
        <w:t>链接：https://doi.org/10.3390/jmse14171592</w:t>
      </w:r>
    </w:p>
    <w:p>
      <w:pPr>
        <w:pStyle w:val="Heading3"/>
      </w:pPr>
      <w:r>
        <w:rPr>
          <w:rFonts w:ascii="Microsoft YaHei" w:hAnsi="Microsoft YaHei" w:eastAsia="Microsoft YaHei"/>
          <w:b/>
        </w:rPr>
        <w:t>3. Rapid Flood Mapping in Surabaya and Gresik using SAR and Optical Satellites: Leveraging Google Earth Engine for Timely Disaster Response</w:t>
      </w:r>
    </w:p>
    <w:p>
      <w:r>
        <w:rPr>
          <w:rFonts w:ascii="Microsoft YaHei" w:hAnsi="Microsoft YaHei" w:eastAsia="Microsoft YaHei"/>
          <w:color w:val="55697D"/>
          <w:sz w:val="18"/>
        </w:rPr>
        <w:t>作者：Zulfikar Adlan Nadzir; Mutia Rahma Apriani; Muhammad Rohmaneo Darminto</w:t>
      </w:r>
    </w:p>
    <w:p>
      <w:r>
        <w:rPr>
          <w:rFonts w:ascii="Microsoft YaHei" w:hAnsi="Microsoft YaHei" w:eastAsia="Microsoft YaHei"/>
          <w:color w:val="55697D"/>
          <w:sz w:val="18"/>
        </w:rPr>
        <w:t>期刊：Jurnal Wilayah dan Lingkungan</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DOI：10.14710/jwl.14.2.197-219</w:t>
      </w:r>
    </w:p>
    <w:p>
      <w:r>
        <w:rPr>
          <w:rFonts w:ascii="Microsoft YaHei" w:hAnsi="Microsoft YaHei" w:eastAsia="Microsoft YaHei"/>
          <w:b/>
          <w:sz w:val="19"/>
        </w:rPr>
        <w:t>关键词：ocean colour; bio-optics</w:t>
      </w:r>
    </w:p>
    <w:p>
      <w:r>
        <w:rPr>
          <w:rFonts w:ascii="Microsoft YaHei" w:hAnsi="Microsoft YaHei" w:eastAsia="Microsoft YaHei"/>
          <w:sz w:val="17"/>
        </w:rPr>
        <w:t>摘要：印度尼西亚城市和城乡结合部地区（特别是泗水和格雷西克）的洪水已成为一项持续的挑战，快速城市化和气候变化加剧了这一挑战。本研究探索了应用 Sentinel-1 双极化水指数 (SDWI) 和源自 Sentinel-2 和 Landsat 9 图像的归一化水指数 (NDWI) 来绘制 2022 年、2023 年和 2024 年三场重大洪水事件期间的洪水范围。该分析是在基于云的 Google Earth Engine (GEE) 平台上进行的，可实现近乎实时的洪水监测，且处理时间显着缩短。结果表明，NDWI 可用于检测大规模水体和沿海洪水，而 SDWI 在城市和植被环境中表现更好，可以捕获 NDWI 可能忽略的建筑区域的洪水。 将卫星得出的洪水地图与新闻报道中的地面实况数据进行比较，证实这两个指数都可以提供指示性洪水评估，其中 SDWI 的表现略好于 NDWI。然而，遥感数据和地面观测之间的差异表明，需要采用一种将卫星数据与地面观测相结合的混合方法，以提高洪水测绘的准确性。将这些指数集成到 Google Earth Engine (GEE) 等基于云的平台上，为快速洪水测绘提供了可扩展的解决方案，支持印度尼西亚（特别是洪水多发地区）的应急响应和减少灾害风险工作。</w:t>
      </w:r>
    </w:p>
    <w:p>
      <w:r>
        <w:rPr>
          <w:rFonts w:ascii="Microsoft YaHei" w:hAnsi="Microsoft YaHei" w:eastAsia="Microsoft YaHei"/>
          <w:color w:val="0563C1"/>
          <w:sz w:val="18"/>
        </w:rPr>
        <w:t>链接：https://doi.org/10.14710/jwl.14.2.197-219</w:t>
      </w:r>
    </w:p>
    <w:p>
      <w:pPr>
        <w:pStyle w:val="Heading3"/>
      </w:pPr>
      <w:r>
        <w:rPr>
          <w:rFonts w:ascii="Microsoft YaHei" w:hAnsi="Microsoft YaHei" w:eastAsia="Microsoft YaHei"/>
          <w:b/>
        </w:rPr>
        <w:t>4. SPATIO-TEMPORAL MONITORING OF COASTAL LAND COVER CHANGE USING REMOTE SENSING AND ARTIFICIAL INTELLIGENCE IN CIREBON REGENCY</w:t>
      </w:r>
    </w:p>
    <w:p>
      <w:r>
        <w:rPr>
          <w:rFonts w:ascii="Microsoft YaHei" w:hAnsi="Microsoft YaHei" w:eastAsia="Microsoft YaHei"/>
          <w:color w:val="55697D"/>
          <w:sz w:val="18"/>
        </w:rPr>
        <w:t>作者：Yuliana Susilowati; Ayubella Anggraini Leksono; Yusa Inderapermana</w:t>
      </w:r>
    </w:p>
    <w:p>
      <w:r>
        <w:rPr>
          <w:rFonts w:ascii="Microsoft YaHei" w:hAnsi="Microsoft YaHei" w:eastAsia="Microsoft YaHei"/>
          <w:color w:val="55697D"/>
          <w:sz w:val="18"/>
        </w:rPr>
        <w:t>期刊：IC-BESTS: International Conference on Business, Economics, Technology, and Social Sciences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DOI：10.34127/icbests.v1i1.241</w:t>
      </w:r>
    </w:p>
    <w:p>
      <w:r>
        <w:rPr>
          <w:rFonts w:ascii="Microsoft YaHei" w:hAnsi="Microsoft YaHei" w:eastAsia="Microsoft YaHei"/>
          <w:b/>
          <w:sz w:val="19"/>
        </w:rPr>
        <w:t>关键词：ocean colour</w:t>
      </w:r>
    </w:p>
    <w:p>
      <w:r>
        <w:rPr>
          <w:rFonts w:ascii="Microsoft YaHei" w:hAnsi="Microsoft YaHei" w:eastAsia="Microsoft YaHei"/>
          <w:sz w:val="17"/>
        </w:rPr>
        <w:t>摘要：沿海地区是高度动态的环境，由于城市扩张、水产养殖发展、农业活动、海岸线侵蚀和生态系统退化而导致土地覆盖不断变化。监测这些变化对于支持可持续沿海管理、环境保护和气候适应至关重要。本研究评估了 2015 年至 2025 年期间印度尼西亚井里汶县沿海地区土地覆盖动态监测中遥感和人工智能 (AI) 的整合。多时相陆地卫星图像通过大气和几何校正、云掩蔽、图像合成和特征提取进行处理。 采用归一化差异水体指数（NDWI）、归一化差异建成指数（NDBI）、归一化差异植被指数（NDVI）和红树林植被指数（MVI）等光谱指数来提高对水体、红树林、建成区和其他植被的区分度。与传统方法相比，采用随机森林算法对土地覆盖进行分类并检测时空变化，提高了准确性和效率。结果表明，建成区不断扩大，红树林和水体大幅减少，反映出人类活动对沿海生态系统的压力不断增加。 虽然其他植被略有增加，但无法弥补红树林退化所丧失的生态功能，特别是在海岸保护、生物多样性保护和蓝碳储存方面。这些发现为可持续沿海空间规划、生态系统恢复、减少灾害风险以及包括巨型海堤（GSW）在内的未来基础设施开发的环境影响评估提供了宝贵的基线信息，同时证明了人工智能辅助遥感对印度尼西亚长期沿海资源管理的有效性</w:t>
      </w:r>
    </w:p>
    <w:p>
      <w:r>
        <w:rPr>
          <w:rFonts w:ascii="Microsoft YaHei" w:hAnsi="Microsoft YaHei" w:eastAsia="Microsoft YaHei"/>
          <w:color w:val="0563C1"/>
          <w:sz w:val="18"/>
        </w:rPr>
        <w:t>链接：https://doi.org/10.34127/icbests.v1i1.241</w:t>
      </w:r>
    </w:p>
    <w:p>
      <w:pPr>
        <w:pStyle w:val="Heading3"/>
      </w:pPr>
      <w:r>
        <w:rPr>
          <w:rFonts w:ascii="Microsoft YaHei" w:hAnsi="Microsoft YaHei" w:eastAsia="Microsoft YaHei"/>
          <w:b/>
        </w:rPr>
        <w:t>5. Satellite monitoring of changes in the state and boundaries of the Bolshoy Azau glacier and transformation of periglacial landscapes in Рrielbrusye over 2015–2025</w:t>
      </w:r>
    </w:p>
    <w:p>
      <w:r>
        <w:rPr>
          <w:rFonts w:ascii="Microsoft YaHei" w:hAnsi="Microsoft YaHei" w:eastAsia="Microsoft YaHei"/>
          <w:color w:val="55697D"/>
          <w:sz w:val="18"/>
        </w:rPr>
        <w:t>作者：A. V. Lysenko; N. V. Sopnev; Y. S. Vlasov</w:t>
      </w:r>
    </w:p>
    <w:p>
      <w:r>
        <w:rPr>
          <w:rFonts w:ascii="Microsoft YaHei" w:hAnsi="Microsoft YaHei" w:eastAsia="Microsoft YaHei"/>
          <w:color w:val="55697D"/>
          <w:sz w:val="18"/>
        </w:rPr>
        <w:t>期刊：Nauka Innovatsii Tekhnologii</w:t>
      </w:r>
    </w:p>
    <w:p>
      <w:r>
        <w:rPr>
          <w:rFonts w:ascii="Microsoft YaHei" w:hAnsi="Microsoft YaHei" w:eastAsia="Microsoft YaHei"/>
          <w:color w:val="55697D"/>
          <w:sz w:val="18"/>
        </w:rPr>
        <w:t>发表月份：2026（月份未核准）</w:t>
      </w:r>
    </w:p>
    <w:p>
      <w:r>
        <w:rPr>
          <w:rFonts w:ascii="Microsoft YaHei" w:hAnsi="Microsoft YaHei" w:eastAsia="Microsoft YaHei"/>
          <w:color w:val="55697D"/>
          <w:sz w:val="18"/>
        </w:rPr>
        <w:t>DOI：10.37493/2308-4758.2026.2.2</w:t>
      </w:r>
    </w:p>
    <w:p>
      <w:r>
        <w:rPr>
          <w:rFonts w:ascii="Microsoft YaHei" w:hAnsi="Microsoft YaHei" w:eastAsia="Microsoft YaHei"/>
          <w:b/>
          <w:sz w:val="19"/>
        </w:rPr>
        <w:t>关键词：ocean colour</w:t>
      </w:r>
    </w:p>
    <w:p>
      <w:r>
        <w:rPr>
          <w:rFonts w:ascii="Microsoft YaHei" w:hAnsi="Microsoft YaHei" w:eastAsia="Microsoft YaHei"/>
          <w:sz w:val="17"/>
        </w:rPr>
        <w:t>摘要：该研究介绍了 2015 年至 2025 年期间对 Bolshoy Azau 冰川状态和边界变化以及冰缘景观变化的卫星监测。基于Sentinel-2（Level-2A）多光谱数据，利用归一化差异雪指数（NDSI）、目视解译和NDVI植被指数，对冰川面积动态、净冰与碎片覆盖冰的比例以及沉积冰碛的初级演替特征进行了评估。据确定，在十年期间，冰川总面积减少了 4. 53 平方公里（24. 1%）。碎屑覆盖冰所占比例由2. 9%增加到50. 4%，伴随着碎屑覆盖冰向消冰川沉积的活跃转变，其面积达到4. 45 km²。对这些冰碛的 NDVI 值的分析显示出极低的值（平均 0. 0018），表明初级演替的初始阶段或几乎不存在。获得的结果表明，冰缘区内地貌高度不稳定的情况持续存在，巴克桑河流域上游冰川泥石流的风险增加。研究表明，即使冰消速度暂时放缓也不能保证景观稳定。地理信息分析和遥感技术的使用保证了监测和研究冰川表面变化动态的高精度计算和广泛的时间覆盖，也可以识别冰川退化的时空模式并分析当代气候变化条件下邻近地球系统的转变。</w:t>
      </w:r>
    </w:p>
    <w:p>
      <w:r>
        <w:rPr>
          <w:rFonts w:ascii="Microsoft YaHei" w:hAnsi="Microsoft YaHei" w:eastAsia="Microsoft YaHei"/>
          <w:color w:val="0563C1"/>
          <w:sz w:val="18"/>
        </w:rPr>
        <w:t>链接：https://doi.org/10.37493/2308-4758.2026.2.2</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