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检索日期：2026-06-18 | GitHub Actions 自动生成</w:t>
      </w:r>
    </w:p>
    <w:p>
      <w:pPr>
        <w:pStyle w:val="Heading1"/>
      </w:pPr>
      <w:r>
        <w:t>今日总览</w:t>
      </w:r>
    </w:p>
    <w:p>
      <w:r>
        <w:rPr>
          <w:rFonts w:ascii="Microsoft YaHei" w:hAnsi="Microsoft YaHei" w:eastAsia="Microsoft YaHei"/>
        </w:rPr>
        <w:t>历史去重后今日新增 5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Observed Trends and Variability in the Water Masses of the Southern Ocean</w:t>
      </w:r>
    </w:p>
    <w:p>
      <w:r>
        <w:rPr>
          <w:rFonts w:ascii="Microsoft YaHei" w:hAnsi="Microsoft YaHei" w:eastAsia="Microsoft YaHei"/>
          <w:color w:val="55697D"/>
          <w:sz w:val="18"/>
        </w:rPr>
        <w:t>作者：James K. Wyatt; Nathaniel L. Bindoff; Annie Foppert; Helen E. Phillips; Stephen R. Rintoul</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DOI：10.1029/2025jc023852</w:t>
      </w:r>
    </w:p>
    <w:p>
      <w:r>
        <w:rPr>
          <w:rFonts w:ascii="Microsoft YaHei" w:hAnsi="Microsoft YaHei" w:eastAsia="Microsoft YaHei"/>
          <w:b/>
          <w:sz w:val="19"/>
        </w:rPr>
        <w:t>关键词：vertical structure</w:t>
      </w:r>
    </w:p>
    <w:p>
      <w:r>
        <w:rPr>
          <w:rFonts w:ascii="Microsoft YaHei" w:hAnsi="Microsoft YaHei" w:eastAsia="Microsoft YaHei"/>
          <w:sz w:val="17"/>
        </w:rPr>
        <w:t>摘要：我们推出了 SatGEM-2，这是环极地南大洋的卫星重力经验模式 (SatGEM) 图集的新版本，纳入了截至 2022 年 12 月所有可用的 CTD 和 Argo 剖面数据。SatGEM-2 使用原位水文观测来构建压力-海面高度（海面高度 [SSH]）空间中的静态重力经验模式 (GEM) 场，将每个 SSH 值与全深度温度、盐度和密度剖面联系起来。该框架能够根据 SSH 地图重建南大洋的四维（纬度-经度-深度-时间）视图。 SatGEM-2 在垂直分辨率为 10 dbar 的网格上提供 1993 年至 2023 年的每日全深度温度、盐度和密度场。使用 SatGEM-2，我们确定了由南移 SSH 等值线驱动的南大洋水量的剧烈变化：亚南极模式水、南极中层水和上环极深水增加了 、 和 ，而下环极深水减少了 。总之，这些趋势相当于 30 年来上层海洋水量增加了约 1. 4 Sv。南大洋的热含量也急剧上升，2014 年至 2023 年的趋势是长期平均值的两倍多。这些结果证明了将卫星测高与 GEM 框架结合起来监测南大洋水体长期变化的能力，并为评估气候变暖下未来海洋变化提供了工具。</w:t>
      </w:r>
    </w:p>
    <w:p>
      <w:r>
        <w:rPr>
          <w:rFonts w:ascii="Microsoft YaHei" w:hAnsi="Microsoft YaHei" w:eastAsia="Microsoft YaHei"/>
          <w:color w:val="0563C1"/>
          <w:sz w:val="18"/>
        </w:rPr>
        <w:t>链接：https://doi.org/10.1029/2025jc023852</w:t>
      </w:r>
    </w:p>
    <w:p>
      <w:pPr>
        <w:pStyle w:val="Heading3"/>
      </w:pPr>
      <w:r>
        <w:rPr>
          <w:rFonts w:ascii="Microsoft YaHei" w:hAnsi="Microsoft YaHei" w:eastAsia="Microsoft YaHei"/>
          <w:b/>
        </w:rPr>
        <w:t>2. Assessing Coral Reef Stress in Indonesia by Combining SST and Ocean Color Data</w:t>
      </w:r>
    </w:p>
    <w:p>
      <w:r>
        <w:rPr>
          <w:rFonts w:ascii="Microsoft YaHei" w:hAnsi="Microsoft YaHei" w:eastAsia="Microsoft YaHei"/>
          <w:color w:val="55697D"/>
          <w:sz w:val="18"/>
        </w:rPr>
        <w:t>作者：Ni Putu Praja Chintya; Seungil Baek; Wonkook Kim</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DOI：10.3390/rs18122019</w:t>
      </w:r>
    </w:p>
    <w:p>
      <w:r>
        <w:rPr>
          <w:rFonts w:ascii="Microsoft YaHei" w:hAnsi="Microsoft YaHei" w:eastAsia="Microsoft YaHei"/>
          <w:b/>
          <w:sz w:val="19"/>
        </w:rPr>
        <w:t>关键词：ocean colour; bio-optics</w:t>
      </w:r>
    </w:p>
    <w:p>
      <w:r>
        <w:rPr>
          <w:rFonts w:ascii="Microsoft YaHei" w:hAnsi="Microsoft YaHei" w:eastAsia="Microsoft YaHei"/>
          <w:sz w:val="17"/>
        </w:rPr>
        <w:t>摘要：珊瑚礁支持海洋生物多样性、渔业、旅游业和海岸保护，但它们日益受到环境压力和白化的威胁。基于卫星的珊瑚礁监测主要依靠热指标，尤其是加热周数 (DHW) 来表示白化风险。然而，仅热暴露可能无法完全描述光学复杂的沿海水域中的珊瑚礁压力，其中光的可用性、水的透明度和水质条件可以改变珊瑚的反应。这种限制在印度尼西亚很重要，因为那里的珊瑚礁跨越了不同的沿海环境，并且许多白化观测都发生在相对较低的生活热水中。在这项研究中，我们开发了珊瑚礁环境压力指数 (CRESI)，以 CRESI-Mamba 的形式实施，以作为连续且可解释的基于卫星的压力指数来估计印度尼西亚的珊瑚礁压力。 CRESI-Mamba 使用来自 NOAA 珊瑚礁观察的 26 周热变量序列和来自 NASA 可见红外成像辐射计套件 (VIIRS) 的海洋颜色变量。该模型将推断的应力分解为热、光和水质路径，并将所得应力指数映射到漂白概率，以进行基于事件的评估。 CRESI-Mamba 使用来自印度尼西亚八个地区的 8424 个珊瑚礁观测数据进行了训练和评估。在 Leave-One-Region-Out 交叉验证 (LORO-CV) 中，该模型的接受者工作特征曲线 (AUC) 下的平均面积为 0。在分组 5 倍交叉验证中，它的 AUC 为 0. 024，超过了仅 DHW 基线 (0. 021)，并且与更强的仅热模型表现相当，同时提供了路径分解的压力指数。估计的压力指数将漂白和未漂白的观察结果分开，成对的压力差异为 0。 路径分析表明，不同地区的主要应力路径有所不同，在一些低生活热水漂白案例中，光应力占主导地位。这些结果表明，印度尼西亚的珊瑚礁压力更能代表多途径环境条件，而不是单独的热暴露。 CRESI-Mamba 提供了一个框架，用于将卫星环境历史解释为珊瑚礁压力，同时保留漂白概率作为评估输出。</w:t>
      </w:r>
    </w:p>
    <w:p>
      <w:r>
        <w:rPr>
          <w:rFonts w:ascii="Microsoft YaHei" w:hAnsi="Microsoft YaHei" w:eastAsia="Microsoft YaHei"/>
          <w:color w:val="0563C1"/>
          <w:sz w:val="18"/>
        </w:rPr>
        <w:t>链接：https://doi.org/10.3390/rs18122019</w:t>
      </w:r>
    </w:p>
    <w:p>
      <w:pPr>
        <w:pStyle w:val="Heading2"/>
      </w:pPr>
      <w:r>
        <w:t>重点关注团队</w:t>
      </w:r>
    </w:p>
    <w:p>
      <w:pPr>
        <w:pStyle w:val="Heading3"/>
      </w:pPr>
      <w:r>
        <w:rPr>
          <w:rFonts w:ascii="Microsoft YaHei" w:hAnsi="Microsoft YaHei" w:eastAsia="Microsoft YaHei"/>
          <w:b/>
        </w:rPr>
        <w:t>3. Detailed Classification of Vegetation and Assessment of Carbon Stock in the Liaohe Estuary Wetlands Based on Sentinel-2 Imagery</w:t>
      </w:r>
    </w:p>
    <w:p>
      <w:r>
        <w:rPr>
          <w:rFonts w:ascii="Microsoft YaHei" w:hAnsi="Microsoft YaHei" w:eastAsia="Microsoft YaHei"/>
          <w:color w:val="55697D"/>
          <w:sz w:val="18"/>
        </w:rPr>
        <w:t>作者：Haoze Wang; Congcong Bi; Yilong Luo; Baokang Xing; Jiayi Wei; Siyu Chen; Rui Yan; Yan Zhang</w:t>
      </w:r>
    </w:p>
    <w:p>
      <w:r>
        <w:rPr>
          <w:rFonts w:ascii="Microsoft YaHei" w:hAnsi="Microsoft YaHei" w:eastAsia="Microsoft YaHei"/>
          <w:color w:val="55697D"/>
          <w:sz w:val="18"/>
        </w:rPr>
        <w:t>期刊：Sustainability</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DOI：10.3390/su18126268</w:t>
      </w:r>
    </w:p>
    <w:p>
      <w:r>
        <w:rPr>
          <w:rFonts w:ascii="Microsoft YaHei" w:hAnsi="Microsoft YaHei" w:eastAsia="Microsoft YaHei"/>
          <w:b/>
          <w:sz w:val="19"/>
        </w:rPr>
        <w:t>关键词：ocean colour</w:t>
      </w:r>
    </w:p>
    <w:p>
      <w:r>
        <w:rPr>
          <w:rFonts w:ascii="Microsoft YaHei" w:hAnsi="Microsoft YaHei" w:eastAsia="Microsoft YaHei"/>
          <w:sz w:val="17"/>
        </w:rPr>
        <w:t>摘要：大多数利用植被指数的遥感提取研究通常根据研究区域的物候特征或依赖于单一植被指数来分类和提取土地覆盖特征。当尝试同时提取多种土地覆盖类型时，分类精度通常会显着下降，因为单个植被指数不适合所有特征。虽然最近的一些研究采用深度学习和神经网络进行分类和提取，但其复杂的机制和“黑匣子效应”阻碍了对准确性结果的清晰解释。针对上述问题，本文提出一种更简单、更直观的典型土地覆盖特征分层提取方法。该方法分析了基于光谱反射率数据分离这些特征的难度，以确定以下提取顺序：首先是水体，其次是芦苇，然后是碱蓬，最后是潮滩。此外，通过选择适当的参数并用植被指数替换性能更好的波段，可以实现较高的提取精度。使用现场调查数据和谷歌图像以及验证样本的组合来验证分类和解释结果。使用总体精度和 Kappa 系数进行的精度评估显示了分层方法的以下最佳结果：水的 NDWI、芦苇的 S2REP 和碱蓬的 MSAVI。 9796，验证了这种使用不同植被指数的基于光谱特征的分层提取方法的有效性。采用分层提取方法对研究区2020年至2025年典型土地覆盖特征进行分类，所有情况下的准确率均超过98%。 基于这些分类结果，采用INVEST模型模拟了辽河口地区近5年的碳储量变化趋势。研究发现，虽然与历史发展造成的问题相比，潮汐、图像采集日期等因素对研究区产生了一定的影响，但现阶段研究区的生态环境正在逐渐稳定。</w:t>
      </w:r>
    </w:p>
    <w:p>
      <w:r>
        <w:rPr>
          <w:rFonts w:ascii="Microsoft YaHei" w:hAnsi="Microsoft YaHei" w:eastAsia="Microsoft YaHei"/>
          <w:color w:val="0563C1"/>
          <w:sz w:val="18"/>
        </w:rPr>
        <w:t>链接：https://doi.org/10.3390/su18126268</w:t>
      </w:r>
    </w:p>
    <w:p>
      <w:pPr>
        <w:pStyle w:val="Heading2"/>
      </w:pPr>
      <w:r>
        <w:t>其他相关期刊：按主题相关性补充</w:t>
      </w:r>
    </w:p>
    <w:p>
      <w:pPr>
        <w:pStyle w:val="Heading3"/>
      </w:pPr>
      <w:r>
        <w:rPr>
          <w:rFonts w:ascii="Microsoft YaHei" w:hAnsi="Microsoft YaHei" w:eastAsia="Microsoft YaHei"/>
          <w:b/>
        </w:rPr>
        <w:t>4. Intra‐Annual Chlorophyll‐a Dynamics Under Hydroclimatic Extremes Derived From a 44‐Year Baseline: Insights From a Temperate River System (Nakdong River Basin, South Korea)</w:t>
      </w:r>
    </w:p>
    <w:p>
      <w:r>
        <w:rPr>
          <w:rFonts w:ascii="Microsoft YaHei" w:hAnsi="Microsoft YaHei" w:eastAsia="Microsoft YaHei"/>
          <w:color w:val="55697D"/>
          <w:sz w:val="18"/>
        </w:rPr>
        <w:t>作者：Pamela Sofia Fabian; YoonKyung Cha; Hyun‐Han Kwon</w:t>
      </w:r>
    </w:p>
    <w:p>
      <w:r>
        <w:rPr>
          <w:rFonts w:ascii="Microsoft YaHei" w:hAnsi="Microsoft YaHei" w:eastAsia="Microsoft YaHei"/>
          <w:color w:val="55697D"/>
          <w:sz w:val="18"/>
        </w:rPr>
        <w:t>期刊：Water Resources Research</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DOI：10.1029/2025wr041316</w:t>
      </w:r>
    </w:p>
    <w:p>
      <w:r>
        <w:rPr>
          <w:rFonts w:ascii="Microsoft YaHei" w:hAnsi="Microsoft YaHei" w:eastAsia="Microsoft YaHei"/>
          <w:b/>
          <w:sz w:val="19"/>
        </w:rPr>
        <w:t>关键词：phytoplankton</w:t>
      </w:r>
    </w:p>
    <w:p>
      <w:r>
        <w:rPr>
          <w:rFonts w:ascii="Microsoft YaHei" w:hAnsi="Microsoft YaHei" w:eastAsia="Microsoft YaHei"/>
          <w:sz w:val="17"/>
        </w:rPr>
        <w:t>摘要：了解干旱如何影响浮游植物动态对于开发预警系统至关重要。利用捕捉水文气象极端值的标准化干旱指数，我们研究了韩国洛东江流域水文异常如何调节年内叶绿素-a (Chla) 浓度（浮游植物生物量的代表）。我们在分层贝叶斯模型中分析了 44 年水文气象记录中的五个干旱指数（SPI、SPEI、SSI、EDDI 和 SPEDI），结合水流、养分浓度和水温异常来检查 Chla 的时空变化。由此产生的模型证明了相对于气象干旱指数的改进的预测性能（R 2 = 0. 94），其中水文干旱指数（SSI-1）占 Chla 年内变异的高达 21％。与正常条件相比，干旱年份叶绿素浓度平均高出 12%，湿润年份低 4%。支流盆地表现出更高的敏感性，特别是在春季和夏季蓝藻水华时期；值得注意的是，2017年和2022年的严重干旱导致这些流域夏季Chla较正常年份增加了51%。互相关分析揭示了水质对干旱的即时和滞后反应，确定养分积累和变暖是促进水华的关键机制。鉴于春季和夏季干旱与水华的强烈关联，预计气候情景下的干旱加剧可能会加剧蓝藻水华风险，给综合水管理带来重大挑战。 这项综合研究为驱动干旱与水华联系的机制提供了重要见解，并强调了干旱指数对于预警和适应性管理的价值。</w:t>
      </w:r>
    </w:p>
    <w:p>
      <w:r>
        <w:rPr>
          <w:rFonts w:ascii="Microsoft YaHei" w:hAnsi="Microsoft YaHei" w:eastAsia="Microsoft YaHei"/>
          <w:color w:val="0563C1"/>
          <w:sz w:val="18"/>
        </w:rPr>
        <w:t>链接：https://doi.org/10.1029/2025wr041316</w:t>
      </w:r>
    </w:p>
    <w:p>
      <w:pPr>
        <w:pStyle w:val="Heading3"/>
      </w:pPr>
      <w:r>
        <w:rPr>
          <w:rFonts w:ascii="Microsoft YaHei" w:hAnsi="Microsoft YaHei" w:eastAsia="Microsoft YaHei"/>
          <w:b/>
        </w:rPr>
        <w:t>5. Harmful algal bloom: catastrophe of aquatic ecosystems and human health</w:t>
      </w:r>
    </w:p>
    <w:p>
      <w:r>
        <w:rPr>
          <w:rFonts w:ascii="Microsoft YaHei" w:hAnsi="Microsoft YaHei" w:eastAsia="Microsoft YaHei"/>
          <w:color w:val="55697D"/>
          <w:sz w:val="18"/>
        </w:rPr>
        <w:t>作者：Gour G. Satpati; Biyas Mukherjee</w:t>
      </w:r>
    </w:p>
    <w:p>
      <w:r>
        <w:rPr>
          <w:rFonts w:ascii="Microsoft YaHei" w:hAnsi="Microsoft YaHei" w:eastAsia="Microsoft YaHei"/>
          <w:color w:val="55697D"/>
          <w:sz w:val="18"/>
        </w:rPr>
        <w:t>期刊：One Health Microbiology &amp;amp; Infection</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DOI：10.66585/ohmi.2026.2.0017</w:t>
      </w:r>
    </w:p>
    <w:p>
      <w:r>
        <w:rPr>
          <w:rFonts w:ascii="Microsoft YaHei" w:hAnsi="Microsoft YaHei" w:eastAsia="Microsoft YaHei"/>
          <w:b/>
          <w:sz w:val="19"/>
        </w:rPr>
        <w:t>关键词：ocean colour</w:t>
      </w:r>
    </w:p>
    <w:p>
      <w:r>
        <w:rPr>
          <w:rFonts w:ascii="Microsoft YaHei" w:hAnsi="Microsoft YaHei" w:eastAsia="Microsoft YaHei"/>
          <w:sz w:val="17"/>
        </w:rPr>
        <w:t>摘要：Harmful algal blooms (HABs) are a catastrophic phenomenon in aquatic ecosystems globally, occurring in freshwater bodies and sometimes in marine and brackish waters, due to large numbers of cyanobacteria and microalgae, including dinoflagellates.由于毒性和缺氧条件，HAB 很危险，可能对人类和动物致命。它们还会引起麻痹性贝类中毒并杀死水体中的鱼类。主要因素包括富营养化、气温上升、积水和日照增加。 Promising paths for early intervention are enabled by efficient monitoring and detection techniques, such as molecular biotechnology, artificial intelligence-driven predictive models, and satellite remote sensing. The negative consequences of HABs can be mitigated through sustainable management techniques such as bioremediation, nutrient load reductions, and regulatory measures. Public awareness and community involvement also play a critical role in preventing and mitigating HAB incidents by encouraging ethical farming methods, reducing waste discharge, and bolstering conservation initiatives.在这篇小型回顾中，概述了赤潮的主要原因和缓解策略。此外，还讨论了现代战略、政策和现状。</w:t>
      </w:r>
    </w:p>
    <w:p>
      <w:r>
        <w:rPr>
          <w:rFonts w:ascii="Microsoft YaHei" w:hAnsi="Microsoft YaHei" w:eastAsia="Microsoft YaHei"/>
          <w:color w:val="0563C1"/>
          <w:sz w:val="18"/>
        </w:rPr>
        <w:t>链接：https://doi.org/10.66585/ohmi.2026.2.0017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